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E9" w:rsidRPr="00E52C5D" w:rsidRDefault="006F5DE9" w:rsidP="006F5DE9">
      <w:pPr>
        <w:widowControl w:val="0"/>
        <w:autoSpaceDE w:val="0"/>
        <w:autoSpaceDN w:val="0"/>
        <w:adjustRightInd w:val="0"/>
        <w:jc w:val="center"/>
        <w:rPr>
          <w:rFonts w:ascii="Arial" w:eastAsia="Batang" w:hAnsi="Arial" w:cs="Arial"/>
          <w:b/>
          <w:lang w:val="en-GB"/>
        </w:rPr>
      </w:pPr>
      <w:bookmarkStart w:id="0" w:name="_GoBack"/>
      <w:bookmarkEnd w:id="0"/>
      <w:r w:rsidRPr="00E52C5D">
        <w:rPr>
          <w:rFonts w:ascii="Arial" w:eastAsia="Batang" w:hAnsi="Arial" w:cs="Arial"/>
          <w:b/>
          <w:bCs/>
          <w:color w:val="000000"/>
          <w:lang w:val="en-GB"/>
        </w:rPr>
        <w:t>ACT</w:t>
      </w:r>
      <w:r w:rsidRPr="00E52C5D">
        <w:rPr>
          <w:rFonts w:ascii="Arial" w:eastAsia="Batang" w:hAnsi="Arial" w:cs="Arial"/>
          <w:b/>
          <w:color w:val="000000"/>
          <w:lang w:val="en-GB"/>
        </w:rPr>
        <w:t xml:space="preserve"> OF </w:t>
      </w:r>
      <w:r w:rsidRPr="00E52C5D">
        <w:rPr>
          <w:rFonts w:ascii="Arial" w:eastAsia="Batang" w:hAnsi="Arial" w:cs="Arial"/>
          <w:b/>
          <w:bCs/>
          <w:color w:val="000000"/>
          <w:lang w:val="en-GB"/>
        </w:rPr>
        <w:t xml:space="preserve">SEDERUNT </w:t>
      </w:r>
      <w:r w:rsidRPr="00E52C5D">
        <w:rPr>
          <w:rFonts w:ascii="Arial" w:eastAsia="Batang" w:hAnsi="Arial" w:cs="Arial"/>
          <w:b/>
          <w:color w:val="000000"/>
          <w:lang w:val="en-GB"/>
        </w:rPr>
        <w:t xml:space="preserve">(SHERIFF COURT </w:t>
      </w:r>
      <w:r w:rsidRPr="00E52C5D">
        <w:rPr>
          <w:rFonts w:ascii="Arial" w:eastAsia="Batang" w:hAnsi="Arial" w:cs="Arial"/>
          <w:b/>
          <w:bCs/>
          <w:color w:val="000000"/>
          <w:lang w:val="en-GB"/>
        </w:rPr>
        <w:t>ORDINARY CAUSE RULES) 1993 No.</w:t>
      </w:r>
      <w:r w:rsidRPr="00E52C5D">
        <w:rPr>
          <w:rFonts w:ascii="Arial" w:eastAsia="Batang" w:hAnsi="Arial" w:cs="Arial"/>
          <w:b/>
          <w:color w:val="000000"/>
          <w:lang w:val="en-GB"/>
        </w:rPr>
        <w:t>1956</w:t>
      </w:r>
      <w:r w:rsidRPr="00E52C5D">
        <w:rPr>
          <w:rFonts w:ascii="Arial" w:eastAsia="Batang" w:hAnsi="Arial" w:cs="Arial"/>
          <w:b/>
          <w:bCs/>
          <w:lang w:val="en-GB"/>
        </w:rPr>
        <w:t xml:space="preserve"> (S.223)</w:t>
      </w:r>
    </w:p>
    <w:p w:rsidR="006F5DE9" w:rsidRPr="00E52C5D" w:rsidRDefault="006F5DE9" w:rsidP="006F5DE9">
      <w:pPr>
        <w:jc w:val="center"/>
        <w:rPr>
          <w:rFonts w:ascii="Arial" w:hAnsi="Arial" w:cs="Arial"/>
          <w:b/>
          <w:color w:val="000000"/>
        </w:rPr>
      </w:pPr>
    </w:p>
    <w:p w:rsidR="006F5DE9" w:rsidRPr="00E52C5D" w:rsidRDefault="006F5DE9" w:rsidP="006F5DE9">
      <w:pPr>
        <w:widowControl w:val="0"/>
        <w:autoSpaceDE w:val="0"/>
        <w:autoSpaceDN w:val="0"/>
        <w:adjustRightInd w:val="0"/>
        <w:jc w:val="center"/>
        <w:rPr>
          <w:rFonts w:ascii="Arial" w:eastAsia="Batang" w:hAnsi="Arial" w:cs="Arial"/>
          <w:b/>
          <w:color w:val="000000"/>
          <w:lang w:val="en-GB"/>
        </w:rPr>
      </w:pPr>
      <w:r w:rsidRPr="00E52C5D">
        <w:rPr>
          <w:rFonts w:ascii="Arial" w:eastAsia="Batang" w:hAnsi="Arial" w:cs="Arial"/>
          <w:b/>
          <w:color w:val="000000"/>
          <w:lang w:val="en-GB"/>
        </w:rPr>
        <w:t>SCHEDULE 1</w:t>
      </w:r>
    </w:p>
    <w:p w:rsidR="006F5DE9" w:rsidRPr="00E52C5D" w:rsidRDefault="006F5DE9" w:rsidP="006F5DE9">
      <w:pPr>
        <w:jc w:val="center"/>
        <w:rPr>
          <w:rFonts w:ascii="Arial" w:hAnsi="Arial" w:cs="Arial"/>
          <w:b/>
          <w:color w:val="000000"/>
        </w:rPr>
      </w:pPr>
    </w:p>
    <w:p w:rsidR="006F5DE9" w:rsidRPr="00E52C5D" w:rsidRDefault="006F5DE9" w:rsidP="006F5DE9">
      <w:pPr>
        <w:widowControl w:val="0"/>
        <w:autoSpaceDE w:val="0"/>
        <w:autoSpaceDN w:val="0"/>
        <w:adjustRightInd w:val="0"/>
        <w:spacing w:before="120"/>
        <w:jc w:val="center"/>
        <w:rPr>
          <w:rFonts w:ascii="Arial" w:eastAsia="Batang" w:hAnsi="Arial" w:cs="Arial"/>
          <w:b/>
          <w:i/>
          <w:lang w:val="en-GB"/>
        </w:rPr>
      </w:pPr>
      <w:r w:rsidRPr="00E52C5D">
        <w:rPr>
          <w:rFonts w:ascii="Arial" w:eastAsia="Batang" w:hAnsi="Arial" w:cs="Arial"/>
          <w:b/>
          <w:i/>
          <w:color w:val="000000"/>
          <w:lang w:val="en-GB"/>
        </w:rPr>
        <w:t>Initiation and progress of causes</w:t>
      </w:r>
    </w:p>
    <w:p w:rsidR="006F5DE9" w:rsidRPr="00E52C5D" w:rsidRDefault="006F5DE9" w:rsidP="006F5DE9">
      <w:pPr>
        <w:widowControl w:val="0"/>
        <w:autoSpaceDE w:val="0"/>
        <w:autoSpaceDN w:val="0"/>
        <w:adjustRightInd w:val="0"/>
        <w:spacing w:before="120"/>
        <w:jc w:val="center"/>
        <w:rPr>
          <w:rFonts w:ascii="Arial" w:eastAsia="Batang" w:hAnsi="Arial" w:cs="Arial"/>
          <w:b/>
          <w:color w:val="000000"/>
          <w:lang w:val="en-GB"/>
        </w:rPr>
      </w:pPr>
    </w:p>
    <w:p w:rsidR="006F5DE9" w:rsidRPr="00E52C5D" w:rsidRDefault="006F5DE9" w:rsidP="006F5DE9">
      <w:pPr>
        <w:widowControl w:val="0"/>
        <w:autoSpaceDE w:val="0"/>
        <w:autoSpaceDN w:val="0"/>
        <w:adjustRightInd w:val="0"/>
        <w:spacing w:before="120"/>
        <w:jc w:val="center"/>
        <w:rPr>
          <w:rFonts w:ascii="Arial" w:eastAsia="Batang" w:hAnsi="Arial" w:cs="Arial"/>
          <w:b/>
          <w:color w:val="000000"/>
          <w:lang w:val="en-GB"/>
        </w:rPr>
      </w:pPr>
      <w:r w:rsidRPr="00E52C5D">
        <w:rPr>
          <w:rFonts w:ascii="Arial" w:eastAsia="Batang" w:hAnsi="Arial" w:cs="Arial"/>
          <w:b/>
          <w:color w:val="000000"/>
          <w:lang w:val="en-GB"/>
        </w:rPr>
        <w:t xml:space="preserve">CHAPTER </w:t>
      </w:r>
      <w:r w:rsidR="000C23DA">
        <w:rPr>
          <w:rFonts w:ascii="Arial" w:eastAsia="Batang" w:hAnsi="Arial" w:cs="Arial"/>
          <w:b/>
          <w:color w:val="000000"/>
          <w:lang w:val="en-GB"/>
        </w:rPr>
        <w:t xml:space="preserve">4A - </w:t>
      </w:r>
      <w:r w:rsidR="000C23DA" w:rsidRPr="000C23DA">
        <w:rPr>
          <w:rFonts w:ascii="Arial" w:eastAsia="Batang" w:hAnsi="Arial" w:cs="Arial"/>
          <w:b/>
          <w:color w:val="000000"/>
          <w:lang w:val="en-GB"/>
        </w:rPr>
        <w:t>MODE OF ATTENDANCE AT HEARINGS</w:t>
      </w:r>
    </w:p>
    <w:p w:rsidR="00D67618" w:rsidRPr="00E52C5D" w:rsidRDefault="00D67618" w:rsidP="006F5DE9">
      <w:pPr>
        <w:widowControl w:val="0"/>
        <w:autoSpaceDE w:val="0"/>
        <w:autoSpaceDN w:val="0"/>
        <w:adjustRightInd w:val="0"/>
        <w:spacing w:before="120"/>
        <w:jc w:val="center"/>
        <w:rPr>
          <w:rFonts w:ascii="Arial" w:eastAsia="Batang" w:hAnsi="Arial" w:cs="Arial"/>
          <w:b/>
          <w:lang w:val="en-GB"/>
        </w:rPr>
      </w:pPr>
      <w:r w:rsidRPr="00E52C5D">
        <w:rPr>
          <w:rFonts w:ascii="Arial" w:eastAsia="Batang" w:hAnsi="Arial" w:cs="Arial"/>
          <w:b/>
          <w:color w:val="FF0000"/>
          <w:lang w:val="en-GB"/>
        </w:rPr>
        <w:t>(</w:t>
      </w:r>
      <w:r w:rsidR="000C23DA">
        <w:rPr>
          <w:rFonts w:ascii="Arial" w:eastAsia="Batang" w:hAnsi="Arial" w:cs="Arial"/>
          <w:b/>
          <w:color w:val="FF0000"/>
          <w:lang w:val="en-GB"/>
        </w:rPr>
        <w:t xml:space="preserve">Procedural hearings fixed </w:t>
      </w:r>
      <w:r w:rsidRPr="00E52C5D">
        <w:rPr>
          <w:rFonts w:ascii="Arial" w:eastAsia="Batang" w:hAnsi="Arial" w:cs="Arial"/>
          <w:b/>
          <w:color w:val="FF0000"/>
          <w:lang w:val="en-GB"/>
        </w:rPr>
        <w:t xml:space="preserve">on or after </w:t>
      </w:r>
      <w:r w:rsidR="000C23DA">
        <w:rPr>
          <w:rFonts w:ascii="Arial" w:eastAsia="Batang" w:hAnsi="Arial" w:cs="Arial"/>
          <w:b/>
          <w:color w:val="FF0000"/>
          <w:lang w:val="en-GB"/>
        </w:rPr>
        <w:t>3 July 2023</w:t>
      </w:r>
      <w:r w:rsidRPr="00E52C5D">
        <w:rPr>
          <w:rFonts w:ascii="Arial" w:eastAsia="Batang" w:hAnsi="Arial" w:cs="Arial"/>
          <w:b/>
          <w:color w:val="FF0000"/>
          <w:lang w:val="en-GB"/>
        </w:rPr>
        <w:t>)</w:t>
      </w:r>
    </w:p>
    <w:p w:rsidR="006F5DE9" w:rsidRPr="00E52C5D" w:rsidRDefault="006F5DE9" w:rsidP="006F5DE9">
      <w:pPr>
        <w:widowControl w:val="0"/>
        <w:autoSpaceDE w:val="0"/>
        <w:autoSpaceDN w:val="0"/>
        <w:adjustRightInd w:val="0"/>
        <w:spacing w:before="120"/>
        <w:rPr>
          <w:rFonts w:ascii="Arial" w:eastAsia="Batang" w:hAnsi="Arial" w:cs="Arial"/>
          <w:color w:val="000000"/>
          <w:lang w:val="en-GB"/>
        </w:rPr>
      </w:pPr>
    </w:p>
    <w:tbl>
      <w:tblPr>
        <w:tblW w:w="4890" w:type="pct"/>
        <w:tblCellSpacing w:w="15" w:type="dxa"/>
        <w:tblInd w:w="145" w:type="dxa"/>
        <w:tblCellMar>
          <w:top w:w="15" w:type="dxa"/>
          <w:left w:w="15" w:type="dxa"/>
          <w:bottom w:w="15" w:type="dxa"/>
          <w:right w:w="15" w:type="dxa"/>
        </w:tblCellMar>
        <w:tblLook w:val="0000" w:firstRow="0" w:lastRow="0" w:firstColumn="0" w:lastColumn="0" w:noHBand="0" w:noVBand="0"/>
      </w:tblPr>
      <w:tblGrid>
        <w:gridCol w:w="830"/>
        <w:gridCol w:w="7997"/>
      </w:tblGrid>
      <w:tr w:rsidR="008201CE" w:rsidRPr="00E52C5D" w:rsidTr="000C23DA">
        <w:trPr>
          <w:tblCellSpacing w:w="15" w:type="dxa"/>
        </w:trPr>
        <w:tc>
          <w:tcPr>
            <w:tcW w:w="449" w:type="pct"/>
            <w:shd w:val="clear" w:color="auto" w:fill="auto"/>
          </w:tcPr>
          <w:p w:rsidR="008201CE" w:rsidRPr="00E52C5D" w:rsidRDefault="000C23DA" w:rsidP="000C23DA">
            <w:pPr>
              <w:spacing w:line="360" w:lineRule="auto"/>
              <w:jc w:val="right"/>
              <w:rPr>
                <w:rFonts w:ascii="Arial" w:eastAsia="Batang" w:hAnsi="Arial" w:cs="Arial"/>
                <w:b/>
                <w:lang w:val="en-GB"/>
              </w:rPr>
            </w:pPr>
            <w:r>
              <w:rPr>
                <w:rFonts w:ascii="Arial" w:eastAsia="Batang" w:hAnsi="Arial" w:cs="Arial"/>
                <w:b/>
                <w:lang w:val="en-GB"/>
              </w:rPr>
              <w:t>4A.1</w:t>
            </w:r>
            <w:r w:rsidR="008201CE" w:rsidRPr="00E52C5D">
              <w:rPr>
                <w:rFonts w:ascii="Arial" w:eastAsia="Batang" w:hAnsi="Arial" w:cs="Arial"/>
                <w:b/>
                <w:lang w:val="en-GB"/>
              </w:rPr>
              <w:t>.</w:t>
            </w:r>
          </w:p>
        </w:tc>
        <w:tc>
          <w:tcPr>
            <w:tcW w:w="0" w:type="auto"/>
            <w:shd w:val="clear" w:color="auto" w:fill="auto"/>
          </w:tcPr>
          <w:p w:rsidR="008201CE" w:rsidRPr="00E52C5D" w:rsidRDefault="0039395F" w:rsidP="00EE3DA2">
            <w:pPr>
              <w:spacing w:line="360" w:lineRule="auto"/>
              <w:ind w:left="81"/>
              <w:rPr>
                <w:rFonts w:ascii="Arial" w:eastAsia="Batang" w:hAnsi="Arial" w:cs="Arial"/>
                <w:b/>
                <w:lang w:val="en-GB"/>
              </w:rPr>
            </w:pPr>
            <w:hyperlink w:anchor="application" w:history="1">
              <w:r w:rsidR="000C23DA" w:rsidRPr="00B71021">
                <w:rPr>
                  <w:rStyle w:val="Hyperlink"/>
                  <w:rFonts w:ascii="Arial" w:eastAsia="Batang" w:hAnsi="Arial" w:cs="Arial"/>
                  <w:b/>
                  <w:lang w:val="en-GB"/>
                </w:rPr>
                <w:t>Application</w:t>
              </w:r>
            </w:hyperlink>
          </w:p>
        </w:tc>
      </w:tr>
      <w:tr w:rsidR="008201CE" w:rsidRPr="00E52C5D" w:rsidTr="000C23DA">
        <w:trPr>
          <w:tblCellSpacing w:w="15" w:type="dxa"/>
        </w:trPr>
        <w:tc>
          <w:tcPr>
            <w:tcW w:w="449" w:type="pct"/>
            <w:shd w:val="clear" w:color="auto" w:fill="auto"/>
          </w:tcPr>
          <w:p w:rsidR="008201CE" w:rsidRPr="00E52C5D" w:rsidRDefault="000C23DA" w:rsidP="000C23DA">
            <w:pPr>
              <w:spacing w:line="360" w:lineRule="auto"/>
              <w:jc w:val="right"/>
              <w:rPr>
                <w:rFonts w:ascii="Arial" w:eastAsia="Batang" w:hAnsi="Arial" w:cs="Arial"/>
                <w:b/>
                <w:lang w:val="en-GB"/>
              </w:rPr>
            </w:pPr>
            <w:r>
              <w:rPr>
                <w:rFonts w:ascii="Arial" w:eastAsia="Batang" w:hAnsi="Arial" w:cs="Arial"/>
                <w:b/>
                <w:lang w:val="en-GB"/>
              </w:rPr>
              <w:t>4A.2</w:t>
            </w:r>
            <w:r w:rsidR="008201CE" w:rsidRPr="00E52C5D">
              <w:rPr>
                <w:rFonts w:ascii="Arial" w:eastAsia="Batang" w:hAnsi="Arial" w:cs="Arial"/>
                <w:b/>
                <w:lang w:val="en-GB"/>
              </w:rPr>
              <w:t>.</w:t>
            </w:r>
          </w:p>
        </w:tc>
        <w:tc>
          <w:tcPr>
            <w:tcW w:w="0" w:type="auto"/>
            <w:shd w:val="clear" w:color="auto" w:fill="auto"/>
          </w:tcPr>
          <w:p w:rsidR="008201CE" w:rsidRPr="00E52C5D" w:rsidRDefault="0039395F" w:rsidP="00EE3DA2">
            <w:pPr>
              <w:spacing w:line="360" w:lineRule="auto"/>
              <w:ind w:left="81"/>
              <w:rPr>
                <w:rFonts w:ascii="Arial" w:eastAsia="Batang" w:hAnsi="Arial" w:cs="Arial"/>
                <w:b/>
                <w:lang w:val="en-GB"/>
              </w:rPr>
            </w:pPr>
            <w:hyperlink w:anchor="modeofattend" w:history="1">
              <w:r w:rsidR="000C23DA" w:rsidRPr="00B71021">
                <w:rPr>
                  <w:rStyle w:val="Hyperlink"/>
                  <w:rFonts w:ascii="Arial" w:eastAsia="Batang" w:hAnsi="Arial" w:cs="Arial"/>
                  <w:b/>
                  <w:lang w:val="en-GB"/>
                </w:rPr>
                <w:t>Mode of attendance at hearings – procedural business</w:t>
              </w:r>
            </w:hyperlink>
          </w:p>
        </w:tc>
      </w:tr>
      <w:tr w:rsidR="008201CE" w:rsidRPr="00E52C5D" w:rsidTr="000C23DA">
        <w:trPr>
          <w:tblCellSpacing w:w="15" w:type="dxa"/>
        </w:trPr>
        <w:tc>
          <w:tcPr>
            <w:tcW w:w="449" w:type="pct"/>
            <w:shd w:val="clear" w:color="auto" w:fill="auto"/>
          </w:tcPr>
          <w:p w:rsidR="008201CE" w:rsidRPr="00E52C5D" w:rsidRDefault="000C23DA" w:rsidP="00EE3DA2">
            <w:pPr>
              <w:spacing w:line="360" w:lineRule="auto"/>
              <w:jc w:val="right"/>
              <w:rPr>
                <w:rFonts w:ascii="Arial" w:eastAsia="Batang" w:hAnsi="Arial" w:cs="Arial"/>
                <w:b/>
                <w:lang w:val="en-GB"/>
              </w:rPr>
            </w:pPr>
            <w:r>
              <w:rPr>
                <w:rFonts w:ascii="Arial" w:eastAsia="Batang" w:hAnsi="Arial" w:cs="Arial"/>
                <w:b/>
                <w:lang w:val="en-GB"/>
              </w:rPr>
              <w:t>4A.</w:t>
            </w:r>
            <w:r w:rsidR="008201CE" w:rsidRPr="00E52C5D">
              <w:rPr>
                <w:rFonts w:ascii="Arial" w:eastAsia="Batang" w:hAnsi="Arial" w:cs="Arial"/>
                <w:b/>
                <w:lang w:val="en-GB"/>
              </w:rPr>
              <w:t>3.</w:t>
            </w:r>
          </w:p>
        </w:tc>
        <w:tc>
          <w:tcPr>
            <w:tcW w:w="0" w:type="auto"/>
            <w:shd w:val="clear" w:color="auto" w:fill="auto"/>
          </w:tcPr>
          <w:p w:rsidR="008201CE" w:rsidRPr="00E52C5D" w:rsidRDefault="0039395F" w:rsidP="00EE3DA2">
            <w:pPr>
              <w:spacing w:line="360" w:lineRule="auto"/>
              <w:ind w:left="81"/>
              <w:rPr>
                <w:rFonts w:ascii="Arial" w:eastAsia="Batang" w:hAnsi="Arial" w:cs="Arial"/>
                <w:b/>
                <w:lang w:val="en-GB"/>
              </w:rPr>
            </w:pPr>
            <w:hyperlink w:anchor="alternativemode" w:history="1">
              <w:r w:rsidR="000C23DA" w:rsidRPr="00B71021">
                <w:rPr>
                  <w:rStyle w:val="Hyperlink"/>
                  <w:rFonts w:ascii="Arial" w:eastAsia="Batang" w:hAnsi="Arial" w:cs="Arial"/>
                  <w:b/>
                  <w:lang w:val="en-GB"/>
                </w:rPr>
                <w:t>Alternative mode of attendance at hearings</w:t>
              </w:r>
            </w:hyperlink>
          </w:p>
        </w:tc>
      </w:tr>
      <w:tr w:rsidR="008201CE" w:rsidRPr="00E52C5D" w:rsidTr="000C23DA">
        <w:trPr>
          <w:tblCellSpacing w:w="15" w:type="dxa"/>
        </w:trPr>
        <w:tc>
          <w:tcPr>
            <w:tcW w:w="449" w:type="pct"/>
            <w:shd w:val="clear" w:color="auto" w:fill="auto"/>
          </w:tcPr>
          <w:p w:rsidR="008201CE" w:rsidRPr="00E52C5D" w:rsidRDefault="000C23DA" w:rsidP="000C23DA">
            <w:pPr>
              <w:spacing w:line="360" w:lineRule="auto"/>
              <w:jc w:val="right"/>
              <w:rPr>
                <w:rFonts w:ascii="Arial" w:eastAsia="Batang" w:hAnsi="Arial" w:cs="Arial"/>
                <w:b/>
                <w:lang w:val="en-GB"/>
              </w:rPr>
            </w:pPr>
            <w:r>
              <w:rPr>
                <w:rFonts w:ascii="Arial" w:eastAsia="Batang" w:hAnsi="Arial" w:cs="Arial"/>
                <w:b/>
                <w:lang w:val="en-GB"/>
              </w:rPr>
              <w:t>4A.</w:t>
            </w:r>
            <w:r w:rsidR="008201CE" w:rsidRPr="00E52C5D">
              <w:rPr>
                <w:rFonts w:ascii="Arial" w:eastAsia="Batang" w:hAnsi="Arial" w:cs="Arial"/>
                <w:b/>
                <w:lang w:val="en-GB"/>
              </w:rPr>
              <w:t>4.</w:t>
            </w:r>
          </w:p>
        </w:tc>
        <w:tc>
          <w:tcPr>
            <w:tcW w:w="0" w:type="auto"/>
            <w:shd w:val="clear" w:color="auto" w:fill="auto"/>
          </w:tcPr>
          <w:p w:rsidR="008201CE" w:rsidRPr="00E52C5D" w:rsidRDefault="0039395F" w:rsidP="00EE3DA2">
            <w:pPr>
              <w:spacing w:line="360" w:lineRule="auto"/>
              <w:ind w:left="81"/>
              <w:rPr>
                <w:rFonts w:ascii="Arial" w:eastAsia="Batang" w:hAnsi="Arial" w:cs="Arial"/>
                <w:b/>
                <w:lang w:val="en-GB"/>
              </w:rPr>
            </w:pPr>
            <w:hyperlink w:anchor="hybrid" w:history="1">
              <w:r w:rsidR="000C23DA" w:rsidRPr="00B71021">
                <w:rPr>
                  <w:rStyle w:val="Hyperlink"/>
                  <w:rFonts w:ascii="Arial" w:eastAsia="Batang" w:hAnsi="Arial" w:cs="Arial"/>
                  <w:b/>
                  <w:lang w:val="en-GB"/>
                </w:rPr>
                <w:t>Hybrid hearings</w:t>
              </w:r>
            </w:hyperlink>
          </w:p>
        </w:tc>
      </w:tr>
      <w:tr w:rsidR="008201CE" w:rsidRPr="00E52C5D" w:rsidTr="000C23DA">
        <w:trPr>
          <w:tblCellSpacing w:w="15" w:type="dxa"/>
        </w:trPr>
        <w:tc>
          <w:tcPr>
            <w:tcW w:w="449" w:type="pct"/>
            <w:shd w:val="clear" w:color="auto" w:fill="auto"/>
          </w:tcPr>
          <w:p w:rsidR="008201CE" w:rsidRPr="00E52C5D" w:rsidRDefault="008201CE" w:rsidP="00EE3DA2">
            <w:pPr>
              <w:spacing w:line="360" w:lineRule="auto"/>
              <w:jc w:val="right"/>
              <w:rPr>
                <w:rFonts w:ascii="Arial" w:eastAsia="Batang" w:hAnsi="Arial" w:cs="Arial"/>
                <w:b/>
                <w:lang w:val="en-GB"/>
              </w:rPr>
            </w:pPr>
          </w:p>
        </w:tc>
        <w:tc>
          <w:tcPr>
            <w:tcW w:w="0" w:type="auto"/>
            <w:shd w:val="clear" w:color="auto" w:fill="auto"/>
          </w:tcPr>
          <w:p w:rsidR="008201CE" w:rsidRPr="00E52C5D" w:rsidRDefault="008201CE" w:rsidP="00EE3DA2">
            <w:pPr>
              <w:spacing w:line="360" w:lineRule="auto"/>
              <w:ind w:left="81"/>
              <w:rPr>
                <w:rFonts w:ascii="Arial" w:eastAsia="Batang" w:hAnsi="Arial" w:cs="Arial"/>
                <w:b/>
                <w:lang w:val="en-GB"/>
              </w:rPr>
            </w:pPr>
          </w:p>
        </w:tc>
      </w:tr>
    </w:tbl>
    <w:p w:rsidR="006F5DE9" w:rsidRPr="00E52C5D" w:rsidRDefault="000C23DA" w:rsidP="006F5DE9">
      <w:pPr>
        <w:widowControl w:val="0"/>
        <w:autoSpaceDE w:val="0"/>
        <w:autoSpaceDN w:val="0"/>
        <w:adjustRightInd w:val="0"/>
        <w:spacing w:before="120"/>
        <w:rPr>
          <w:rFonts w:ascii="Arial" w:eastAsia="Batang" w:hAnsi="Arial" w:cs="Arial"/>
          <w:b/>
          <w:color w:val="000000"/>
          <w:lang w:val="en-GB"/>
        </w:rPr>
      </w:pPr>
      <w:bookmarkStart w:id="1" w:name="application"/>
      <w:r>
        <w:rPr>
          <w:rFonts w:ascii="Arial" w:eastAsia="Batang" w:hAnsi="Arial" w:cs="Arial"/>
          <w:b/>
          <w:color w:val="000000"/>
          <w:lang w:val="en-GB"/>
        </w:rPr>
        <w:t>Application</w:t>
      </w:r>
    </w:p>
    <w:bookmarkEnd w:id="1"/>
    <w:p w:rsidR="006F5DE9" w:rsidRDefault="000C23DA" w:rsidP="00721F42">
      <w:pPr>
        <w:widowControl w:val="0"/>
        <w:autoSpaceDE w:val="0"/>
        <w:autoSpaceDN w:val="0"/>
        <w:adjustRightInd w:val="0"/>
        <w:spacing w:before="120"/>
        <w:ind w:left="1440" w:hanging="1440"/>
        <w:jc w:val="both"/>
        <w:rPr>
          <w:rFonts w:ascii="Arial" w:eastAsia="Batang" w:hAnsi="Arial" w:cs="Arial"/>
          <w:color w:val="000000"/>
          <w:lang w:val="en-GB"/>
        </w:rPr>
      </w:pPr>
      <w:r>
        <w:rPr>
          <w:rFonts w:ascii="Arial" w:eastAsia="Batang" w:hAnsi="Arial" w:cs="Arial"/>
          <w:b/>
          <w:color w:val="000000"/>
          <w:lang w:val="en-GB"/>
        </w:rPr>
        <w:t>4A</w:t>
      </w:r>
      <w:r w:rsidR="006F5DE9" w:rsidRPr="00E52C5D">
        <w:rPr>
          <w:rFonts w:ascii="Arial" w:eastAsia="Batang" w:hAnsi="Arial" w:cs="Arial"/>
          <w:b/>
          <w:color w:val="000000"/>
          <w:lang w:val="en-GB"/>
        </w:rPr>
        <w:t>.1.</w:t>
      </w:r>
      <w:r w:rsidR="004270AE">
        <w:rPr>
          <w:rFonts w:ascii="Arial" w:eastAsia="Batang" w:hAnsi="Arial" w:cs="Arial"/>
          <w:b/>
          <w:color w:val="000000"/>
          <w:lang w:val="en-GB"/>
        </w:rPr>
        <w:tab/>
      </w:r>
      <w:r w:rsidR="00721F42" w:rsidRPr="00721F42">
        <w:rPr>
          <w:rFonts w:ascii="Arial" w:eastAsia="Batang" w:hAnsi="Arial" w:cs="Arial"/>
          <w:color w:val="000000"/>
          <w:lang w:val="en-GB"/>
        </w:rPr>
        <w:t>This Chapter is without prejudice to any enactment under which provision has been made regarding the mode of attendance of persons at hearings.</w:t>
      </w:r>
    </w:p>
    <w:p w:rsidR="004270AE" w:rsidRDefault="004270AE" w:rsidP="004270AE">
      <w:pPr>
        <w:widowControl w:val="0"/>
        <w:autoSpaceDE w:val="0"/>
        <w:autoSpaceDN w:val="0"/>
        <w:adjustRightInd w:val="0"/>
        <w:spacing w:before="120"/>
        <w:ind w:left="1440" w:hanging="1440"/>
        <w:jc w:val="both"/>
        <w:rPr>
          <w:rFonts w:ascii="Arial" w:eastAsia="Batang" w:hAnsi="Arial" w:cs="Arial"/>
          <w:b/>
          <w:color w:val="000000"/>
          <w:lang w:val="en-GB"/>
        </w:rPr>
      </w:pPr>
    </w:p>
    <w:p w:rsidR="004270AE" w:rsidRDefault="004270AE" w:rsidP="004270AE">
      <w:pPr>
        <w:widowControl w:val="0"/>
        <w:autoSpaceDE w:val="0"/>
        <w:autoSpaceDN w:val="0"/>
        <w:adjustRightInd w:val="0"/>
        <w:spacing w:before="120"/>
        <w:ind w:left="1440" w:hanging="1440"/>
        <w:jc w:val="both"/>
        <w:rPr>
          <w:rFonts w:ascii="Arial" w:eastAsia="Batang" w:hAnsi="Arial" w:cs="Arial"/>
          <w:b/>
          <w:color w:val="000000"/>
          <w:lang w:val="en-GB"/>
        </w:rPr>
      </w:pPr>
      <w:bookmarkStart w:id="2" w:name="modeofattend"/>
      <w:r w:rsidRPr="004270AE">
        <w:rPr>
          <w:rFonts w:ascii="Arial" w:eastAsia="Batang" w:hAnsi="Arial" w:cs="Arial"/>
          <w:b/>
          <w:color w:val="000000"/>
          <w:lang w:val="en-GB"/>
        </w:rPr>
        <w:t>Mode of attendance at hearings – procedural business</w:t>
      </w:r>
    </w:p>
    <w:bookmarkEnd w:id="2"/>
    <w:p w:rsidR="00721F42" w:rsidRPr="00721F42" w:rsidRDefault="004270AE" w:rsidP="00721F42">
      <w:pPr>
        <w:widowControl w:val="0"/>
        <w:autoSpaceDE w:val="0"/>
        <w:autoSpaceDN w:val="0"/>
        <w:adjustRightInd w:val="0"/>
        <w:spacing w:before="120"/>
        <w:ind w:left="1440" w:hanging="1440"/>
        <w:jc w:val="both"/>
        <w:rPr>
          <w:rFonts w:ascii="Arial" w:eastAsia="Batang" w:hAnsi="Arial" w:cs="Arial"/>
          <w:lang w:val="en-GB"/>
        </w:rPr>
      </w:pPr>
      <w:r w:rsidRPr="004270AE">
        <w:rPr>
          <w:rFonts w:ascii="Arial" w:eastAsia="Batang" w:hAnsi="Arial" w:cs="Arial"/>
          <w:b/>
          <w:color w:val="000000"/>
          <w:lang w:val="en-GB"/>
        </w:rPr>
        <w:t>4A.</w:t>
      </w:r>
      <w:r w:rsidRPr="004270AE">
        <w:rPr>
          <w:rFonts w:ascii="Arial" w:eastAsia="Batang" w:hAnsi="Arial" w:cs="Arial"/>
          <w:b/>
          <w:lang w:val="en-GB"/>
        </w:rPr>
        <w:t>2</w:t>
      </w:r>
      <w:r>
        <w:rPr>
          <w:rFonts w:ascii="Arial" w:eastAsia="Batang" w:hAnsi="Arial" w:cs="Arial"/>
          <w:lang w:val="en-GB"/>
        </w:rPr>
        <w:t>.</w:t>
      </w:r>
      <w:r>
        <w:rPr>
          <w:rFonts w:ascii="Arial" w:eastAsia="Batang" w:hAnsi="Arial" w:cs="Arial"/>
          <w:lang w:val="en-GB"/>
        </w:rPr>
        <w:tab/>
      </w:r>
      <w:r w:rsidR="00721F42" w:rsidRPr="00721F42">
        <w:rPr>
          <w:rFonts w:ascii="Arial" w:eastAsia="Batang" w:hAnsi="Arial" w:cs="Arial"/>
          <w:lang w:val="en-GB"/>
        </w:rPr>
        <w:t xml:space="preserve">(1) Hearings at which only procedural business is to be considered are to be attended by electronic means. </w:t>
      </w:r>
    </w:p>
    <w:p w:rsidR="004270AE" w:rsidRDefault="00721F42" w:rsidP="00721F42">
      <w:pPr>
        <w:widowControl w:val="0"/>
        <w:autoSpaceDE w:val="0"/>
        <w:autoSpaceDN w:val="0"/>
        <w:adjustRightInd w:val="0"/>
        <w:spacing w:before="120"/>
        <w:ind w:left="1440"/>
        <w:jc w:val="both"/>
        <w:rPr>
          <w:rFonts w:ascii="Arial" w:eastAsia="Batang" w:hAnsi="Arial" w:cs="Arial"/>
          <w:lang w:val="en-GB"/>
        </w:rPr>
      </w:pPr>
      <w:r w:rsidRPr="00721F42">
        <w:rPr>
          <w:rFonts w:ascii="Arial" w:eastAsia="Batang" w:hAnsi="Arial" w:cs="Arial"/>
          <w:lang w:val="en-GB"/>
        </w:rPr>
        <w:t>(2) Paragraph (1) does not apply to hearings at which a party is unrepresented or utilising an interpreter.</w:t>
      </w:r>
    </w:p>
    <w:p w:rsidR="00721F42" w:rsidRDefault="00721F42" w:rsidP="00721F42">
      <w:pPr>
        <w:widowControl w:val="0"/>
        <w:autoSpaceDE w:val="0"/>
        <w:autoSpaceDN w:val="0"/>
        <w:adjustRightInd w:val="0"/>
        <w:spacing w:before="120"/>
        <w:ind w:left="1440"/>
        <w:jc w:val="both"/>
        <w:rPr>
          <w:rFonts w:ascii="Arial" w:eastAsia="Batang" w:hAnsi="Arial" w:cs="Arial"/>
          <w:lang w:val="en-GB"/>
        </w:rPr>
      </w:pPr>
    </w:p>
    <w:p w:rsidR="004270AE" w:rsidRPr="004270AE" w:rsidRDefault="004270AE" w:rsidP="004270AE">
      <w:pPr>
        <w:widowControl w:val="0"/>
        <w:autoSpaceDE w:val="0"/>
        <w:autoSpaceDN w:val="0"/>
        <w:adjustRightInd w:val="0"/>
        <w:spacing w:before="120"/>
        <w:jc w:val="both"/>
        <w:rPr>
          <w:rFonts w:ascii="Arial" w:eastAsia="Batang" w:hAnsi="Arial" w:cs="Arial"/>
          <w:b/>
          <w:lang w:val="en-GB"/>
        </w:rPr>
      </w:pPr>
      <w:bookmarkStart w:id="3" w:name="alternativemode"/>
      <w:r w:rsidRPr="004270AE">
        <w:rPr>
          <w:rFonts w:ascii="Arial" w:eastAsia="Batang" w:hAnsi="Arial" w:cs="Arial"/>
          <w:b/>
          <w:lang w:val="en-GB"/>
        </w:rPr>
        <w:t>Alternative mode of attendance at hearings</w:t>
      </w:r>
    </w:p>
    <w:bookmarkEnd w:id="3"/>
    <w:p w:rsidR="00721F42" w:rsidRDefault="004270AE" w:rsidP="00721F42">
      <w:pPr>
        <w:widowControl w:val="0"/>
        <w:autoSpaceDE w:val="0"/>
        <w:autoSpaceDN w:val="0"/>
        <w:adjustRightInd w:val="0"/>
        <w:spacing w:before="120"/>
        <w:ind w:left="1440" w:hanging="1440"/>
        <w:jc w:val="both"/>
        <w:rPr>
          <w:rFonts w:ascii="Arial" w:eastAsia="Batang" w:hAnsi="Arial" w:cs="Arial"/>
          <w:lang w:val="en-GB"/>
        </w:rPr>
      </w:pPr>
      <w:r w:rsidRPr="004270AE">
        <w:rPr>
          <w:rFonts w:ascii="Arial" w:eastAsia="Batang" w:hAnsi="Arial" w:cs="Arial"/>
          <w:b/>
          <w:lang w:val="en-GB"/>
        </w:rPr>
        <w:t>4A.3.</w:t>
      </w:r>
      <w:r>
        <w:rPr>
          <w:rFonts w:ascii="Arial" w:eastAsia="Batang" w:hAnsi="Arial" w:cs="Arial"/>
          <w:b/>
          <w:lang w:val="en-GB"/>
        </w:rPr>
        <w:tab/>
      </w:r>
      <w:r w:rsidR="00721F42" w:rsidRPr="00721F42">
        <w:rPr>
          <w:rFonts w:ascii="Arial" w:eastAsia="Batang" w:hAnsi="Arial" w:cs="Arial"/>
          <w:lang w:val="en-GB"/>
        </w:rPr>
        <w:t>(1) The sheriff may, at the sheriff’s own instance or on the motion of a party on cause shown</w:t>
      </w:r>
      <w:r w:rsidR="00721F42">
        <w:rPr>
          <w:rFonts w:ascii="Arial" w:eastAsia="Batang" w:hAnsi="Arial" w:cs="Arial"/>
          <w:lang w:val="en-GB"/>
        </w:rPr>
        <w:t>:</w:t>
      </w:r>
    </w:p>
    <w:p w:rsidR="00721F42" w:rsidRDefault="00721F42" w:rsidP="00C92619">
      <w:pPr>
        <w:widowControl w:val="0"/>
        <w:autoSpaceDE w:val="0"/>
        <w:autoSpaceDN w:val="0"/>
        <w:adjustRightInd w:val="0"/>
        <w:spacing w:before="120"/>
        <w:ind w:left="2160"/>
        <w:jc w:val="both"/>
        <w:rPr>
          <w:rFonts w:ascii="Arial" w:eastAsia="Batang" w:hAnsi="Arial" w:cs="Arial"/>
          <w:lang w:val="en-GB"/>
        </w:rPr>
      </w:pPr>
      <w:r w:rsidRPr="00721F42">
        <w:rPr>
          <w:rFonts w:ascii="Arial" w:eastAsia="Batang" w:hAnsi="Arial" w:cs="Arial"/>
          <w:lang w:val="en-GB"/>
        </w:rPr>
        <w:lastRenderedPageBreak/>
        <w:t>(a) in relation to hearings to which rule 4A.2(1) applies, order physical attendance at a hearing;</w:t>
      </w:r>
    </w:p>
    <w:p w:rsidR="00721F42" w:rsidRDefault="00721F42" w:rsidP="00C92619">
      <w:pPr>
        <w:widowControl w:val="0"/>
        <w:autoSpaceDE w:val="0"/>
        <w:autoSpaceDN w:val="0"/>
        <w:adjustRightInd w:val="0"/>
        <w:spacing w:before="120"/>
        <w:ind w:left="2160"/>
        <w:jc w:val="both"/>
        <w:rPr>
          <w:rFonts w:ascii="Arial" w:eastAsia="Batang" w:hAnsi="Arial" w:cs="Arial"/>
          <w:lang w:val="en-GB"/>
        </w:rPr>
      </w:pPr>
      <w:r w:rsidRPr="00721F42">
        <w:rPr>
          <w:rFonts w:ascii="Arial" w:eastAsia="Batang" w:hAnsi="Arial" w:cs="Arial"/>
          <w:lang w:val="en-GB"/>
        </w:rPr>
        <w:t>(b) in relation to any other hearings, order attendance at a hearing by electronic means.</w:t>
      </w:r>
    </w:p>
    <w:p w:rsidR="00721F42" w:rsidRDefault="00721F42" w:rsidP="00721F42">
      <w:pPr>
        <w:widowControl w:val="0"/>
        <w:autoSpaceDE w:val="0"/>
        <w:autoSpaceDN w:val="0"/>
        <w:adjustRightInd w:val="0"/>
        <w:spacing w:before="120"/>
        <w:ind w:left="1440"/>
        <w:jc w:val="both"/>
        <w:rPr>
          <w:rFonts w:ascii="Arial" w:eastAsia="Batang" w:hAnsi="Arial" w:cs="Arial"/>
          <w:lang w:val="en-GB"/>
        </w:rPr>
      </w:pPr>
      <w:r w:rsidRPr="00721F42">
        <w:rPr>
          <w:rFonts w:ascii="Arial" w:eastAsia="Batang" w:hAnsi="Arial" w:cs="Arial"/>
          <w:lang w:val="en-GB"/>
        </w:rPr>
        <w:t>(2) The sheriff may revoke an order granted under paragraph (1) or this paragraph and, where the sheriff does so, the sheriff may make such further order as the sheriff thinks fit.</w:t>
      </w:r>
    </w:p>
    <w:p w:rsidR="00721F42" w:rsidRDefault="00721F42" w:rsidP="00721F42">
      <w:pPr>
        <w:widowControl w:val="0"/>
        <w:autoSpaceDE w:val="0"/>
        <w:autoSpaceDN w:val="0"/>
        <w:adjustRightInd w:val="0"/>
        <w:spacing w:before="120"/>
        <w:ind w:left="1440"/>
        <w:jc w:val="both"/>
        <w:rPr>
          <w:rFonts w:ascii="Arial" w:eastAsia="Batang" w:hAnsi="Arial" w:cs="Arial"/>
          <w:lang w:val="en-GB"/>
        </w:rPr>
      </w:pPr>
      <w:r w:rsidRPr="00721F42">
        <w:rPr>
          <w:rFonts w:ascii="Arial" w:eastAsia="Batang" w:hAnsi="Arial" w:cs="Arial"/>
          <w:lang w:val="en-GB"/>
        </w:rPr>
        <w:t>(3) Before the sheriff makes an order under paragraph (1) or (2), the sheriff is to give parties the opportunity to make representations about the mode of attendance.</w:t>
      </w:r>
    </w:p>
    <w:p w:rsidR="004270AE" w:rsidRPr="004270AE" w:rsidRDefault="004270AE" w:rsidP="00721F42">
      <w:pPr>
        <w:widowControl w:val="0"/>
        <w:autoSpaceDE w:val="0"/>
        <w:autoSpaceDN w:val="0"/>
        <w:adjustRightInd w:val="0"/>
        <w:spacing w:before="120"/>
        <w:jc w:val="both"/>
        <w:rPr>
          <w:rFonts w:ascii="Arial" w:eastAsia="Batang" w:hAnsi="Arial" w:cs="Arial"/>
          <w:b/>
          <w:lang w:val="en-GB"/>
        </w:rPr>
      </w:pPr>
      <w:r w:rsidRPr="004270AE">
        <w:rPr>
          <w:rFonts w:ascii="Arial" w:eastAsia="Batang" w:hAnsi="Arial" w:cs="Arial"/>
          <w:b/>
          <w:lang w:val="en-GB"/>
        </w:rPr>
        <w:t>Hybrid hearings</w:t>
      </w:r>
    </w:p>
    <w:p w:rsidR="00721F42" w:rsidRPr="00721F42" w:rsidRDefault="004270AE" w:rsidP="00721F42">
      <w:pPr>
        <w:widowControl w:val="0"/>
        <w:autoSpaceDE w:val="0"/>
        <w:autoSpaceDN w:val="0"/>
        <w:adjustRightInd w:val="0"/>
        <w:spacing w:before="120"/>
        <w:ind w:left="1440" w:hanging="1440"/>
        <w:jc w:val="both"/>
        <w:rPr>
          <w:rFonts w:ascii="Arial" w:eastAsia="Batang" w:hAnsi="Arial" w:cs="Arial"/>
          <w:lang w:val="en-GB"/>
        </w:rPr>
      </w:pPr>
      <w:r w:rsidRPr="00B71021">
        <w:rPr>
          <w:rFonts w:ascii="Arial" w:eastAsia="Batang" w:hAnsi="Arial" w:cs="Arial"/>
          <w:b/>
          <w:lang w:val="en-GB"/>
        </w:rPr>
        <w:t>4A.4</w:t>
      </w:r>
      <w:bookmarkStart w:id="4" w:name="hybrid"/>
      <w:bookmarkEnd w:id="4"/>
      <w:r w:rsidRPr="004270AE">
        <w:rPr>
          <w:rFonts w:ascii="Arial" w:eastAsia="Batang" w:hAnsi="Arial" w:cs="Arial"/>
          <w:lang w:val="en-GB"/>
        </w:rPr>
        <w:t xml:space="preserve">. </w:t>
      </w:r>
      <w:r w:rsidR="00B71021">
        <w:rPr>
          <w:rFonts w:ascii="Arial" w:eastAsia="Batang" w:hAnsi="Arial" w:cs="Arial"/>
          <w:lang w:val="en-GB"/>
        </w:rPr>
        <w:tab/>
      </w:r>
      <w:r w:rsidR="00721F42" w:rsidRPr="00721F42">
        <w:rPr>
          <w:rFonts w:ascii="Arial" w:eastAsia="Batang" w:hAnsi="Arial" w:cs="Arial"/>
          <w:lang w:val="en-GB"/>
        </w:rPr>
        <w:t xml:space="preserve">An order under rule 4A.3(1) or (2) may include provision for a person to attend a </w:t>
      </w:r>
      <w:r w:rsidR="00721F42">
        <w:rPr>
          <w:rFonts w:ascii="Arial" w:eastAsia="Batang" w:hAnsi="Arial" w:cs="Arial"/>
          <w:lang w:val="en-GB"/>
        </w:rPr>
        <w:t>hearing:</w:t>
      </w:r>
    </w:p>
    <w:p w:rsidR="00721F42" w:rsidRPr="00721F42" w:rsidRDefault="00721F42" w:rsidP="00C92619">
      <w:pPr>
        <w:widowControl w:val="0"/>
        <w:autoSpaceDE w:val="0"/>
        <w:autoSpaceDN w:val="0"/>
        <w:adjustRightInd w:val="0"/>
        <w:spacing w:before="120"/>
        <w:ind w:left="1440" w:firstLine="720"/>
        <w:jc w:val="both"/>
        <w:rPr>
          <w:rFonts w:ascii="Arial" w:eastAsia="Batang" w:hAnsi="Arial" w:cs="Arial"/>
          <w:lang w:val="en-GB"/>
        </w:rPr>
      </w:pPr>
      <w:r w:rsidRPr="00721F42">
        <w:rPr>
          <w:rFonts w:ascii="Arial" w:eastAsia="Batang" w:hAnsi="Arial" w:cs="Arial"/>
          <w:lang w:val="en-GB"/>
        </w:rPr>
        <w:t xml:space="preserve">(a) both physically and by electronic means; </w:t>
      </w:r>
    </w:p>
    <w:p w:rsidR="00721F42" w:rsidRPr="00721F42" w:rsidRDefault="00721F42" w:rsidP="00C92619">
      <w:pPr>
        <w:widowControl w:val="0"/>
        <w:autoSpaceDE w:val="0"/>
        <w:autoSpaceDN w:val="0"/>
        <w:adjustRightInd w:val="0"/>
        <w:spacing w:before="120"/>
        <w:ind w:left="1440" w:firstLine="720"/>
        <w:jc w:val="both"/>
        <w:rPr>
          <w:rFonts w:ascii="Arial" w:eastAsia="Batang" w:hAnsi="Arial" w:cs="Arial"/>
          <w:lang w:val="en-GB"/>
        </w:rPr>
      </w:pPr>
      <w:r w:rsidRPr="00721F42">
        <w:rPr>
          <w:rFonts w:ascii="Arial" w:eastAsia="Batang" w:hAnsi="Arial" w:cs="Arial"/>
          <w:lang w:val="en-GB"/>
        </w:rPr>
        <w:t xml:space="preserve">(b) by one mode and another person to attend by the other mode, </w:t>
      </w:r>
    </w:p>
    <w:p w:rsidR="006F5DE9" w:rsidRPr="00E52C5D" w:rsidRDefault="00721F42" w:rsidP="00C92619">
      <w:pPr>
        <w:widowControl w:val="0"/>
        <w:autoSpaceDE w:val="0"/>
        <w:autoSpaceDN w:val="0"/>
        <w:adjustRightInd w:val="0"/>
        <w:spacing w:before="120"/>
        <w:ind w:left="1440" w:firstLine="720"/>
        <w:jc w:val="both"/>
        <w:rPr>
          <w:rFonts w:ascii="Arial" w:eastAsia="Batang" w:hAnsi="Arial" w:cs="Arial"/>
          <w:color w:val="000000"/>
          <w:lang w:val="en-GB"/>
        </w:rPr>
      </w:pPr>
      <w:r w:rsidRPr="00721F42">
        <w:rPr>
          <w:rFonts w:ascii="Arial" w:eastAsia="Batang" w:hAnsi="Arial" w:cs="Arial"/>
          <w:lang w:val="en-GB"/>
        </w:rPr>
        <w:t>and at different times or dates</w:t>
      </w:r>
      <w:r w:rsidR="00C92619">
        <w:rPr>
          <w:rFonts w:ascii="Arial" w:eastAsia="Batang" w:hAnsi="Arial" w:cs="Arial"/>
          <w:lang w:val="en-GB"/>
        </w:rPr>
        <w:t>.</w:t>
      </w:r>
    </w:p>
    <w:p w:rsidR="00547DA4" w:rsidRPr="00E52C5D" w:rsidRDefault="00547DA4">
      <w:pPr>
        <w:rPr>
          <w:rFonts w:ascii="Arial" w:hAnsi="Arial" w:cs="Arial"/>
        </w:rPr>
      </w:pPr>
    </w:p>
    <w:sectPr w:rsidR="00547DA4" w:rsidRPr="00E52C5D" w:rsidSect="006C34AB">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43" w:rsidRDefault="00020243">
      <w:r>
        <w:separator/>
      </w:r>
    </w:p>
  </w:endnote>
  <w:endnote w:type="continuationSeparator" w:id="0">
    <w:p w:rsidR="00020243" w:rsidRDefault="000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43" w:rsidRDefault="00020243">
      <w:r>
        <w:separator/>
      </w:r>
    </w:p>
  </w:footnote>
  <w:footnote w:type="continuationSeparator" w:id="0">
    <w:p w:rsidR="00020243" w:rsidRDefault="00020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8E"/>
    <w:rsid w:val="00020243"/>
    <w:rsid w:val="000C23DA"/>
    <w:rsid w:val="000F08EE"/>
    <w:rsid w:val="001044FA"/>
    <w:rsid w:val="00183716"/>
    <w:rsid w:val="00184664"/>
    <w:rsid w:val="00237EC7"/>
    <w:rsid w:val="00242CA4"/>
    <w:rsid w:val="0039395F"/>
    <w:rsid w:val="00397B57"/>
    <w:rsid w:val="004270AE"/>
    <w:rsid w:val="00430DA4"/>
    <w:rsid w:val="00454BA2"/>
    <w:rsid w:val="00547DA4"/>
    <w:rsid w:val="00582C0F"/>
    <w:rsid w:val="005F09CB"/>
    <w:rsid w:val="006B442F"/>
    <w:rsid w:val="006C34AB"/>
    <w:rsid w:val="006F5DE9"/>
    <w:rsid w:val="007055B5"/>
    <w:rsid w:val="00721F42"/>
    <w:rsid w:val="00793D53"/>
    <w:rsid w:val="008201CE"/>
    <w:rsid w:val="00861C26"/>
    <w:rsid w:val="00916AD3"/>
    <w:rsid w:val="009A28AE"/>
    <w:rsid w:val="009C3201"/>
    <w:rsid w:val="00AC2502"/>
    <w:rsid w:val="00B71021"/>
    <w:rsid w:val="00BF649B"/>
    <w:rsid w:val="00C42D54"/>
    <w:rsid w:val="00C80A83"/>
    <w:rsid w:val="00C9054D"/>
    <w:rsid w:val="00C92619"/>
    <w:rsid w:val="00CF238E"/>
    <w:rsid w:val="00CF6C78"/>
    <w:rsid w:val="00D002EE"/>
    <w:rsid w:val="00D67618"/>
    <w:rsid w:val="00DB0957"/>
    <w:rsid w:val="00DC002F"/>
    <w:rsid w:val="00DD4541"/>
    <w:rsid w:val="00E0521D"/>
    <w:rsid w:val="00E3500C"/>
    <w:rsid w:val="00E412AE"/>
    <w:rsid w:val="00E52C5D"/>
    <w:rsid w:val="00EE3DA2"/>
    <w:rsid w:val="00F93676"/>
    <w:rsid w:val="00FD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884EE-1A63-4E8F-9965-C3EFB53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0DA4"/>
    <w:rPr>
      <w:color w:val="0000FF"/>
      <w:u w:val="single"/>
    </w:rPr>
  </w:style>
  <w:style w:type="character" w:styleId="FollowedHyperlink">
    <w:name w:val="FollowedHyperlink"/>
    <w:rsid w:val="00430DA4"/>
    <w:rPr>
      <w:color w:val="800080"/>
      <w:u w:val="single"/>
    </w:rPr>
  </w:style>
  <w:style w:type="character" w:styleId="FootnoteReference">
    <w:name w:val="footnote reference"/>
    <w:semiHidden/>
    <w:rsid w:val="000F08EE"/>
    <w:rPr>
      <w:rFonts w:ascii="Times New Roman" w:hAnsi="Times New Roman"/>
      <w:b/>
      <w:vertAlign w:val="baseline"/>
    </w:rPr>
  </w:style>
  <w:style w:type="paragraph" w:styleId="FootnoteText">
    <w:name w:val="footnote text"/>
    <w:basedOn w:val="Normal"/>
    <w:semiHidden/>
    <w:rsid w:val="000F08EE"/>
    <w:pPr>
      <w:spacing w:line="180" w:lineRule="exact"/>
      <w:ind w:left="284" w:hanging="284"/>
      <w:jc w:val="both"/>
    </w:pPr>
    <w:rPr>
      <w:sz w:val="16"/>
      <w:szCs w:val="20"/>
      <w:lang w:val="en-GB"/>
    </w:rPr>
  </w:style>
  <w:style w:type="paragraph" w:customStyle="1" w:styleId="LQN2">
    <w:name w:val="LQN2"/>
    <w:basedOn w:val="Normal"/>
    <w:link w:val="LQN2Char"/>
    <w:rsid w:val="000F08EE"/>
    <w:pPr>
      <w:spacing w:before="80" w:line="220" w:lineRule="atLeast"/>
      <w:ind w:left="567" w:firstLine="170"/>
      <w:jc w:val="both"/>
    </w:pPr>
    <w:rPr>
      <w:sz w:val="21"/>
      <w:lang w:val="en-GB"/>
    </w:rPr>
  </w:style>
  <w:style w:type="character" w:customStyle="1" w:styleId="LQN2Char">
    <w:name w:val="LQN2 Char"/>
    <w:link w:val="LQN2"/>
    <w:rsid w:val="000F08EE"/>
    <w:rPr>
      <w:sz w:val="21"/>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1590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ACT OF SEDERUNT (SHERIFF COURT ORDINARY CAUSE RULES) 1993 No</vt:lpstr>
    </vt:vector>
  </TitlesOfParts>
  <Company>SCS</Company>
  <LinksUpToDate>false</LinksUpToDate>
  <CharactersWithSpaces>1874</CharactersWithSpaces>
  <SharedDoc>false</SharedDoc>
  <HLinks>
    <vt:vector size="60" baseType="variant">
      <vt:variant>
        <vt:i4>7340150</vt:i4>
      </vt:variant>
      <vt:variant>
        <vt:i4>27</vt:i4>
      </vt:variant>
      <vt:variant>
        <vt:i4>0</vt:i4>
      </vt:variant>
      <vt:variant>
        <vt:i4>5</vt:i4>
      </vt:variant>
      <vt:variant>
        <vt:lpwstr/>
      </vt:variant>
      <vt:variant>
        <vt:lpwstr>R05P10</vt:lpwstr>
      </vt:variant>
      <vt:variant>
        <vt:i4>7929975</vt:i4>
      </vt:variant>
      <vt:variant>
        <vt:i4>24</vt:i4>
      </vt:variant>
      <vt:variant>
        <vt:i4>0</vt:i4>
      </vt:variant>
      <vt:variant>
        <vt:i4>5</vt:i4>
      </vt:variant>
      <vt:variant>
        <vt:lpwstr/>
      </vt:variant>
      <vt:variant>
        <vt:lpwstr>R05P09</vt:lpwstr>
      </vt:variant>
      <vt:variant>
        <vt:i4>7864439</vt:i4>
      </vt:variant>
      <vt:variant>
        <vt:i4>21</vt:i4>
      </vt:variant>
      <vt:variant>
        <vt:i4>0</vt:i4>
      </vt:variant>
      <vt:variant>
        <vt:i4>5</vt:i4>
      </vt:variant>
      <vt:variant>
        <vt:lpwstr/>
      </vt:variant>
      <vt:variant>
        <vt:lpwstr>R05P08</vt:lpwstr>
      </vt:variant>
      <vt:variant>
        <vt:i4>7798903</vt:i4>
      </vt:variant>
      <vt:variant>
        <vt:i4>18</vt:i4>
      </vt:variant>
      <vt:variant>
        <vt:i4>0</vt:i4>
      </vt:variant>
      <vt:variant>
        <vt:i4>5</vt:i4>
      </vt:variant>
      <vt:variant>
        <vt:lpwstr/>
      </vt:variant>
      <vt:variant>
        <vt:lpwstr>R05P07</vt:lpwstr>
      </vt:variant>
      <vt:variant>
        <vt:i4>7733367</vt:i4>
      </vt:variant>
      <vt:variant>
        <vt:i4>15</vt:i4>
      </vt:variant>
      <vt:variant>
        <vt:i4>0</vt:i4>
      </vt:variant>
      <vt:variant>
        <vt:i4>5</vt:i4>
      </vt:variant>
      <vt:variant>
        <vt:lpwstr/>
      </vt:variant>
      <vt:variant>
        <vt:lpwstr>R05P06</vt:lpwstr>
      </vt:variant>
      <vt:variant>
        <vt:i4>7667831</vt:i4>
      </vt:variant>
      <vt:variant>
        <vt:i4>12</vt:i4>
      </vt:variant>
      <vt:variant>
        <vt:i4>0</vt:i4>
      </vt:variant>
      <vt:variant>
        <vt:i4>5</vt:i4>
      </vt:variant>
      <vt:variant>
        <vt:lpwstr/>
      </vt:variant>
      <vt:variant>
        <vt:lpwstr>R05P05</vt:lpwstr>
      </vt:variant>
      <vt:variant>
        <vt:i4>7602295</vt:i4>
      </vt:variant>
      <vt:variant>
        <vt:i4>9</vt:i4>
      </vt:variant>
      <vt:variant>
        <vt:i4>0</vt:i4>
      </vt:variant>
      <vt:variant>
        <vt:i4>5</vt:i4>
      </vt:variant>
      <vt:variant>
        <vt:lpwstr/>
      </vt:variant>
      <vt:variant>
        <vt:lpwstr>R05P04</vt:lpwstr>
      </vt:variant>
      <vt:variant>
        <vt:i4>7536759</vt:i4>
      </vt:variant>
      <vt:variant>
        <vt:i4>6</vt:i4>
      </vt:variant>
      <vt:variant>
        <vt:i4>0</vt:i4>
      </vt:variant>
      <vt:variant>
        <vt:i4>5</vt:i4>
      </vt:variant>
      <vt:variant>
        <vt:lpwstr/>
      </vt:variant>
      <vt:variant>
        <vt:lpwstr>R05P03</vt:lpwstr>
      </vt:variant>
      <vt:variant>
        <vt:i4>7471223</vt:i4>
      </vt:variant>
      <vt:variant>
        <vt:i4>3</vt:i4>
      </vt:variant>
      <vt:variant>
        <vt:i4>0</vt:i4>
      </vt:variant>
      <vt:variant>
        <vt:i4>5</vt:i4>
      </vt:variant>
      <vt:variant>
        <vt:lpwstr/>
      </vt:variant>
      <vt:variant>
        <vt:lpwstr>R05P02</vt:lpwstr>
      </vt:variant>
      <vt:variant>
        <vt:i4>7405687</vt:i4>
      </vt:variant>
      <vt:variant>
        <vt:i4>0</vt:i4>
      </vt:variant>
      <vt:variant>
        <vt:i4>0</vt:i4>
      </vt:variant>
      <vt:variant>
        <vt:i4>5</vt:i4>
      </vt:variant>
      <vt:variant>
        <vt:lpwstr/>
      </vt:variant>
      <vt:variant>
        <vt:lpwstr>R05P01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SEDERUNT (SHERIFF COURT ORDINARY CAUSE RULES) 1993 No</dc:title>
  <dc:subject/>
  <dc:creator>Riddell</dc:creator>
  <cp:keywords/>
  <dc:description/>
  <cp:lastModifiedBy>Kubeczka, Mark</cp:lastModifiedBy>
  <cp:revision>2</cp:revision>
  <dcterms:created xsi:type="dcterms:W3CDTF">2023-06-06T08:22:00Z</dcterms:created>
  <dcterms:modified xsi:type="dcterms:W3CDTF">2023-06-06T08:22:00Z</dcterms:modified>
</cp:coreProperties>
</file>