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15" w:rsidRDefault="001B6573">
      <w:pPr>
        <w:spacing w:before="72"/>
        <w:ind w:left="2520"/>
        <w:rPr>
          <w:rFonts w:ascii="Palatino Linotype" w:hAnsi="Palatino Linotype"/>
          <w:b/>
          <w:color w:val="000000"/>
          <w:w w:val="105"/>
          <w:sz w:val="20"/>
        </w:rPr>
      </w:pPr>
      <w:bookmarkStart w:id="0" w:name="_GoBack"/>
      <w:bookmarkEnd w:id="0"/>
      <w:r>
        <w:rPr>
          <w:rFonts w:ascii="Palatino Linotype" w:hAnsi="Palatino Linotype"/>
          <w:b/>
          <w:color w:val="000000"/>
          <w:w w:val="105"/>
          <w:sz w:val="20"/>
        </w:rPr>
        <w:t>COURT OF SESSION</w:t>
      </w:r>
    </w:p>
    <w:p w:rsidR="00135B15" w:rsidRDefault="001B6573">
      <w:pPr>
        <w:spacing w:before="288"/>
        <w:ind w:left="2736"/>
        <w:rPr>
          <w:rFonts w:ascii="Palatino Linotype" w:hAnsi="Palatino Linotype"/>
          <w:b/>
          <w:color w:val="000000"/>
          <w:w w:val="105"/>
          <w:sz w:val="20"/>
        </w:rPr>
      </w:pPr>
      <w:r>
        <w:rPr>
          <w:rFonts w:ascii="Palatino Linotype" w:hAnsi="Palatino Linotype"/>
          <w:b/>
          <w:color w:val="000000"/>
          <w:w w:val="105"/>
          <w:sz w:val="20"/>
        </w:rPr>
        <w:t>PRACTICE NOTE</w:t>
      </w:r>
    </w:p>
    <w:p w:rsidR="00135B15" w:rsidRDefault="001B6573">
      <w:pPr>
        <w:spacing w:before="288"/>
        <w:ind w:left="2952"/>
        <w:rPr>
          <w:rFonts w:ascii="Palatino Linotype" w:hAnsi="Palatino Linotype"/>
          <w:b/>
          <w:color w:val="000000"/>
          <w:w w:val="105"/>
          <w:sz w:val="20"/>
        </w:rPr>
      </w:pPr>
      <w:r>
        <w:rPr>
          <w:rFonts w:ascii="Palatino Linotype" w:hAnsi="Palatino Linotype"/>
          <w:b/>
          <w:color w:val="000000"/>
          <w:w w:val="105"/>
          <w:sz w:val="20"/>
        </w:rPr>
        <w:t>No. 3 of 2009</w:t>
      </w:r>
    </w:p>
    <w:p w:rsidR="00135B15" w:rsidRDefault="001B6573">
      <w:pPr>
        <w:spacing w:before="288" w:line="300" w:lineRule="auto"/>
        <w:ind w:left="1440"/>
        <w:rPr>
          <w:rFonts w:ascii="Palatino Linotype" w:hAnsi="Palatino Linotype"/>
          <w:b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b/>
          <w:color w:val="000000"/>
          <w:spacing w:val="-1"/>
          <w:w w:val="105"/>
          <w:sz w:val="20"/>
        </w:rPr>
        <w:t>Motions etc. intimated and enrolled by email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216" w:line="302" w:lineRule="auto"/>
        <w:ind w:left="432" w:hanging="360"/>
        <w:rPr>
          <w:rFonts w:ascii="Palatino Linotype" w:hAnsi="Palatino Linotype"/>
          <w:color w:val="000000"/>
          <w:spacing w:val="3"/>
          <w:w w:val="105"/>
          <w:sz w:val="20"/>
        </w:rPr>
      </w:pPr>
      <w:r>
        <w:rPr>
          <w:rFonts w:ascii="Palatino Linotype" w:hAnsi="Palatino Linotype"/>
          <w:color w:val="000000"/>
          <w:spacing w:val="3"/>
          <w:w w:val="105"/>
          <w:sz w:val="20"/>
        </w:rPr>
        <w:t>This practice note has effect from 1st February 2010.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right="72" w:hanging="360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The purpose of this practice note is to provide guidance in respect of the procedure for intimating motions, or consent or opposition to motions, by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email in accordance with Parts 2 and 4 of Chapter 23 of the Rules of the Court </w:t>
      </w:r>
      <w:r>
        <w:rPr>
          <w:rFonts w:ascii="Palatino Linotype" w:hAnsi="Palatino Linotype"/>
          <w:color w:val="000000"/>
          <w:w w:val="105"/>
          <w:sz w:val="20"/>
        </w:rPr>
        <w:t>of Session.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t>An email address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 which is provided by a party or by an agent of a party for 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the purpose of receiving intimation of motions, or intimation of consent or </w:t>
      </w:r>
      <w:r>
        <w:rPr>
          <w:rFonts w:ascii="Palatino Linotype" w:hAnsi="Palatino Linotype"/>
          <w:color w:val="000000"/>
          <w:w w:val="105"/>
          <w:sz w:val="20"/>
        </w:rPr>
        <w:t xml:space="preserve">opposition to motions, must be in regular use. The provision of the email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address for this purpose should be made to the Deputy Principal Clerk of Session. Any declaration by an agent that they do not have suitable facilities </w:t>
      </w:r>
      <w:r>
        <w:rPr>
          <w:rFonts w:ascii="Palatino Linotype" w:hAnsi="Palatino Linotype"/>
          <w:color w:val="000000"/>
          <w:spacing w:val="2"/>
          <w:w w:val="105"/>
          <w:sz w:val="20"/>
        </w:rPr>
        <w:t xml:space="preserve">for the purpose of transacting motion business should also be made, in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writing, to the Deputy Principal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Clerk of Session.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360"/>
        <w:ind w:left="432" w:right="72" w:hanging="360"/>
        <w:jc w:val="both"/>
        <w:rPr>
          <w:rFonts w:ascii="Palatino Linotype" w:hAnsi="Palatino Linotype"/>
          <w:color w:val="000000"/>
          <w:spacing w:val="4"/>
          <w:w w:val="105"/>
          <w:sz w:val="20"/>
        </w:rPr>
      </w:pPr>
      <w:r>
        <w:rPr>
          <w:rFonts w:ascii="Palatino Linotype" w:hAnsi="Palatino Linotype"/>
          <w:color w:val="000000"/>
          <w:spacing w:val="4"/>
          <w:w w:val="105"/>
          <w:sz w:val="20"/>
        </w:rPr>
        <w:t xml:space="preserve">The Deputy Principal Clerk of Session will maintain a list of all email </w:t>
      </w:r>
      <w:proofErr w:type="gramStart"/>
      <w:r>
        <w:rPr>
          <w:rFonts w:ascii="Palatino Linotype" w:hAnsi="Palatino Linotype"/>
          <w:color w:val="000000"/>
          <w:spacing w:val="-3"/>
          <w:w w:val="105"/>
          <w:sz w:val="20"/>
        </w:rPr>
        <w:t>addresses</w:t>
      </w:r>
      <w:proofErr w:type="gramEnd"/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 provided for this purpose which will be published on the Scottish </w:t>
      </w:r>
      <w:r>
        <w:rPr>
          <w:rFonts w:ascii="Palatino Linotype" w:hAnsi="Palatino Linotype"/>
          <w:color w:val="000000"/>
          <w:spacing w:val="3"/>
          <w:w w:val="105"/>
          <w:sz w:val="20"/>
        </w:rPr>
        <w:t xml:space="preserve">Court Service website. The Deputy Principal Clerk of Session will also 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>maintain a separate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 list of those agents who have made a declaration that </w:t>
      </w:r>
      <w:r>
        <w:rPr>
          <w:rFonts w:ascii="Palatino Linotype" w:hAnsi="Palatino Linotype"/>
          <w:color w:val="000000"/>
          <w:w w:val="105"/>
          <w:sz w:val="20"/>
        </w:rPr>
        <w:t xml:space="preserve">they do not have suitable facilities for the purpose of transacting motion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business. That separate list will be published on the same website.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Palatino Linotype" w:hAnsi="Palatino Linotype"/>
          <w:color w:val="000000"/>
          <w:spacing w:val="-3"/>
          <w:w w:val="105"/>
          <w:sz w:val="20"/>
        </w:rPr>
      </w:pPr>
      <w:r>
        <w:rPr>
          <w:rFonts w:ascii="Palatino Linotype" w:hAnsi="Palatino Linotype"/>
          <w:color w:val="000000"/>
          <w:spacing w:val="-3"/>
          <w:w w:val="105"/>
          <w:sz w:val="20"/>
        </w:rPr>
        <w:t>Where, in the case of an agent to a receiving party, the i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dentity and separate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email address of a fee earner or other person who is handling the matter for 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the agent is known, the enrolling party should send any intimation required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under Part 2 of Chapter 23 of the Rules to that separate email address at the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same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 time as sending it to the provided email address.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Palatino Linotype" w:hAnsi="Palatino Linotype"/>
          <w:color w:val="000000"/>
          <w:spacing w:val="1"/>
          <w:w w:val="105"/>
          <w:sz w:val="20"/>
        </w:rPr>
      </w:pP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Where a party or an agent provides an email address for the purpose of </w:t>
      </w:r>
      <w:r>
        <w:rPr>
          <w:rFonts w:ascii="Palatino Linotype" w:hAnsi="Palatino Linotype"/>
          <w:color w:val="000000"/>
          <w:w w:val="105"/>
          <w:sz w:val="20"/>
        </w:rPr>
        <w:t xml:space="preserve">transacting motion business, the same email address will be used for the purpose of sending interlocutors to that party or agent once a motion has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been determined under the procedure contained in Part 2 of Chapter 23.</w:t>
      </w:r>
    </w:p>
    <w:p w:rsidR="00135B15" w:rsidRDefault="001B6573">
      <w:pPr>
        <w:numPr>
          <w:ilvl w:val="0"/>
          <w:numId w:val="1"/>
        </w:numPr>
        <w:tabs>
          <w:tab w:val="clear" w:pos="360"/>
          <w:tab w:val="decimal" w:pos="432"/>
        </w:tabs>
        <w:spacing w:before="324"/>
        <w:ind w:left="432" w:right="72" w:hanging="360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Where an unopposed motion is enrolled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by email under rule 23.1F but the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entry in the Rolls of Court in respect of that motion is starred, the motion will be allocated by the Keeper of the Rolls for a hearing before the Lord Ordinary 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in accordance with the procedure that applies in relation to 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an opposed </w:t>
      </w:r>
      <w:r>
        <w:rPr>
          <w:rFonts w:ascii="Palatino Linotype" w:hAnsi="Palatino Linotype"/>
          <w:color w:val="000000"/>
          <w:w w:val="105"/>
          <w:sz w:val="20"/>
        </w:rPr>
        <w:t>motion.</w:t>
      </w:r>
    </w:p>
    <w:p w:rsidR="00135B15" w:rsidRDefault="00135B15">
      <w:pPr>
        <w:sectPr w:rsidR="00135B15">
          <w:pgSz w:w="12240" w:h="15840"/>
          <w:pgMar w:top="1521" w:right="2256" w:bottom="986" w:left="2364" w:header="720" w:footer="720" w:gutter="0"/>
          <w:cols w:space="720"/>
        </w:sectPr>
      </w:pP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lastRenderedPageBreak/>
        <w:t xml:space="preserve">Where a motion which is enrolled by email in accordance with Parts 2 and 4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of Chapter 23 refers to a document, or the court requires a document to be </w:t>
      </w:r>
      <w:r>
        <w:rPr>
          <w:rFonts w:ascii="Palatino Linotype" w:hAnsi="Palatino Linotype"/>
          <w:color w:val="000000"/>
          <w:w w:val="105"/>
          <w:sz w:val="20"/>
        </w:rPr>
        <w:t xml:space="preserve">lodged with the motion, the document is to be attached to the motion in </w:t>
      </w:r>
      <w:r>
        <w:rPr>
          <w:rFonts w:ascii="Palatino Linotype" w:hAnsi="Palatino Linotype"/>
          <w:color w:val="000000"/>
          <w:spacing w:val="6"/>
          <w:w w:val="105"/>
          <w:sz w:val="20"/>
        </w:rPr>
        <w:t>electronic form, using either “Word” or “</w:t>
      </w:r>
      <w:proofErr w:type="spellStart"/>
      <w:r>
        <w:rPr>
          <w:rFonts w:ascii="Palatino Linotype" w:hAnsi="Palatino Linotype"/>
          <w:color w:val="000000"/>
          <w:spacing w:val="6"/>
          <w:w w:val="105"/>
          <w:sz w:val="20"/>
        </w:rPr>
        <w:t>pdf</w:t>
      </w:r>
      <w:proofErr w:type="spellEnd"/>
      <w:r>
        <w:rPr>
          <w:rFonts w:ascii="Palatino Linotype" w:hAnsi="Palatino Linotype"/>
          <w:color w:val="000000"/>
          <w:spacing w:val="6"/>
          <w:w w:val="105"/>
          <w:sz w:val="20"/>
        </w:rPr>
        <w:t xml:space="preserve">” format. Where such a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document requires to be signed, a scanned signature will be acceptable.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24"/>
        <w:ind w:left="504" w:hanging="432"/>
        <w:jc w:val="both"/>
        <w:rPr>
          <w:rFonts w:ascii="Palatino Linotype" w:hAnsi="Palatino Linotype"/>
          <w:color w:val="000000"/>
          <w:spacing w:val="-6"/>
          <w:w w:val="105"/>
          <w:sz w:val="20"/>
        </w:rPr>
      </w:pPr>
      <w:r>
        <w:rPr>
          <w:rFonts w:ascii="Palatino Linotype" w:hAnsi="Palatino Linotype"/>
          <w:color w:val="000000"/>
          <w:spacing w:val="-6"/>
          <w:w w:val="105"/>
          <w:sz w:val="20"/>
        </w:rPr>
        <w:t xml:space="preserve">Where any type of record or other document comprising 20 pages or fewer is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attached to a motion enrolled by email in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accordance with Parts 2 and 4 of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Chapter 23, the necessary number of copies of that document will be printed </w:t>
      </w:r>
      <w:r>
        <w:rPr>
          <w:rFonts w:ascii="Palatino Linotype" w:hAnsi="Palatino Linotype"/>
          <w:color w:val="000000"/>
          <w:spacing w:val="-5"/>
          <w:w w:val="105"/>
          <w:sz w:val="20"/>
        </w:rPr>
        <w:t xml:space="preserve">at the court by court staff and lodged in the process of the action to which the </w:t>
      </w:r>
      <w:r>
        <w:rPr>
          <w:rFonts w:ascii="Palatino Linotype" w:hAnsi="Palatino Linotype"/>
          <w:color w:val="000000"/>
          <w:w w:val="105"/>
          <w:sz w:val="20"/>
        </w:rPr>
        <w:t>motion relates.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60"/>
        <w:ind w:left="504" w:hanging="432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Where any type of record or other document comprising more than 20 pages </w:t>
      </w:r>
      <w:r>
        <w:rPr>
          <w:rFonts w:ascii="Palatino Linotype" w:hAnsi="Palatino Linotype"/>
          <w:color w:val="000000"/>
          <w:spacing w:val="-4"/>
          <w:w w:val="105"/>
          <w:sz w:val="20"/>
        </w:rPr>
        <w:t xml:space="preserve">is attached to a motion enrolled by email in accordance with Parts 2 and 4 of </w:t>
      </w:r>
      <w:r>
        <w:rPr>
          <w:rFonts w:ascii="Palatino Linotype" w:hAnsi="Palatino Linotype"/>
          <w:color w:val="000000"/>
          <w:w w:val="105"/>
          <w:sz w:val="20"/>
        </w:rPr>
        <w:t xml:space="preserve">Chapter 23, one copy of the document will be printed at the court by court 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>staff and lodged in process. A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ny necessary additional copies of the document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will require to be lodged by parties on the following court day.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24"/>
        <w:ind w:left="504" w:hanging="432"/>
        <w:jc w:val="both"/>
        <w:rPr>
          <w:rFonts w:ascii="Palatino Linotype" w:hAnsi="Palatino Linotype"/>
          <w:color w:val="000000"/>
          <w:spacing w:val="1"/>
          <w:w w:val="105"/>
          <w:sz w:val="20"/>
        </w:rPr>
      </w:pP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Subject to paragraph 12, where a motion enrolled by email in accordance </w:t>
      </w:r>
      <w:r>
        <w:rPr>
          <w:rFonts w:ascii="Palatino Linotype" w:hAnsi="Palatino Linotype"/>
          <w:color w:val="000000"/>
          <w:w w:val="105"/>
          <w:sz w:val="20"/>
        </w:rPr>
        <w:t>with Parts 2 and 4 of Chapter 23 refers to accompanying productions, onl</w:t>
      </w:r>
      <w:r>
        <w:rPr>
          <w:rFonts w:ascii="Palatino Linotype" w:hAnsi="Palatino Linotype"/>
          <w:color w:val="000000"/>
          <w:w w:val="105"/>
          <w:sz w:val="20"/>
        </w:rPr>
        <w:t xml:space="preserve">y </w:t>
      </w:r>
      <w:r>
        <w:rPr>
          <w:rFonts w:ascii="Palatino Linotype" w:hAnsi="Palatino Linotype"/>
          <w:color w:val="000000"/>
          <w:spacing w:val="2"/>
          <w:w w:val="105"/>
          <w:sz w:val="20"/>
        </w:rPr>
        <w:t xml:space="preserve">the inventory of productions should be sent by email. The inventory of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productions will be printed at the court by court staff and lodged in process. </w:t>
      </w:r>
      <w:r>
        <w:rPr>
          <w:rFonts w:ascii="Palatino Linotype" w:hAnsi="Palatino Linotype"/>
          <w:color w:val="000000"/>
          <w:spacing w:val="5"/>
          <w:w w:val="105"/>
          <w:sz w:val="20"/>
        </w:rPr>
        <w:t xml:space="preserve">The productions should then be lodged by the enrolling party on the </w:t>
      </w:r>
      <w:r>
        <w:rPr>
          <w:rFonts w:ascii="Palatino Linotype" w:hAnsi="Palatino Linotype"/>
          <w:color w:val="000000"/>
          <w:w w:val="105"/>
          <w:sz w:val="20"/>
        </w:rPr>
        <w:t>following court day.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60"/>
        <w:ind w:left="504" w:hanging="432"/>
        <w:jc w:val="both"/>
        <w:rPr>
          <w:rFonts w:ascii="Palatino Linotype" w:hAnsi="Palatino Linotype"/>
          <w:color w:val="000000"/>
          <w:spacing w:val="7"/>
          <w:w w:val="105"/>
          <w:sz w:val="20"/>
        </w:rPr>
      </w:pPr>
      <w:r>
        <w:rPr>
          <w:rFonts w:ascii="Palatino Linotype" w:hAnsi="Palatino Linotype"/>
          <w:color w:val="000000"/>
          <w:spacing w:val="7"/>
          <w:w w:val="105"/>
          <w:sz w:val="20"/>
        </w:rPr>
        <w:t xml:space="preserve">Where a motion </w:t>
      </w:r>
      <w:r>
        <w:rPr>
          <w:rFonts w:ascii="Palatino Linotype" w:hAnsi="Palatino Linotype"/>
          <w:color w:val="000000"/>
          <w:spacing w:val="7"/>
          <w:w w:val="105"/>
          <w:sz w:val="20"/>
        </w:rPr>
        <w:t xml:space="preserve">is starred on the Rolls of Court, parties must lodge </w:t>
      </w:r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productions prior to the motion roll hearing where they are relevant to the 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hearing. For example, the relevant productions must be lodged where a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motion is made to allow those productions to be lodged late.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24"/>
        <w:ind w:left="504" w:hanging="432"/>
        <w:jc w:val="both"/>
        <w:rPr>
          <w:rFonts w:ascii="Palatino Linotype" w:hAnsi="Palatino Linotype"/>
          <w:color w:val="000000"/>
          <w:w w:val="105"/>
          <w:sz w:val="20"/>
        </w:rPr>
      </w:pPr>
      <w:r>
        <w:rPr>
          <w:rFonts w:ascii="Palatino Linotype" w:hAnsi="Palatino Linotype"/>
          <w:color w:val="000000"/>
          <w:w w:val="105"/>
          <w:sz w:val="20"/>
        </w:rPr>
        <w:t xml:space="preserve">Where a party enrolling a motion by email in accordance with Parts 2 and 4 of Chapter 23 claims a fee exemption, the appropriate fee exemption form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shall be attached, in electronic form, to the m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otion. The fee exemption form will be printed at the court by court staff and lodged in process.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24"/>
        <w:ind w:left="504" w:hanging="432"/>
        <w:jc w:val="both"/>
        <w:rPr>
          <w:rFonts w:ascii="Palatino Linotype" w:hAnsi="Palatino Linotype"/>
          <w:color w:val="000000"/>
          <w:spacing w:val="-1"/>
          <w:w w:val="105"/>
          <w:sz w:val="20"/>
        </w:rPr>
      </w:pPr>
      <w:r>
        <w:rPr>
          <w:rFonts w:ascii="Palatino Linotype" w:hAnsi="Palatino Linotype"/>
          <w:color w:val="000000"/>
          <w:spacing w:val="-1"/>
          <w:w w:val="105"/>
          <w:sz w:val="20"/>
        </w:rPr>
        <w:t xml:space="preserve">A party or an agent may amend or withdraw an email address provided for the purpose of transacting motion business by sending a notice in writing to </w:t>
      </w:r>
      <w:r>
        <w:rPr>
          <w:rFonts w:ascii="Palatino Linotype" w:hAnsi="Palatino Linotype"/>
          <w:color w:val="000000"/>
          <w:w w:val="105"/>
          <w:sz w:val="20"/>
        </w:rPr>
        <w:t>the Deputy</w:t>
      </w:r>
      <w:r>
        <w:rPr>
          <w:rFonts w:ascii="Palatino Linotype" w:hAnsi="Palatino Linotype"/>
          <w:color w:val="000000"/>
          <w:w w:val="105"/>
          <w:sz w:val="20"/>
        </w:rPr>
        <w:t xml:space="preserve"> Principal Clerk of Session. Upon receipt of such a notice, the Deputy Principal Clerk of Session will arrange to amend the email address </w:t>
      </w:r>
      <w:r>
        <w:rPr>
          <w:rFonts w:ascii="Palatino Linotype" w:hAnsi="Palatino Linotype"/>
          <w:color w:val="000000"/>
          <w:spacing w:val="1"/>
          <w:w w:val="105"/>
          <w:sz w:val="20"/>
        </w:rPr>
        <w:t xml:space="preserve">on the list published on the Scottish Court Service website or remove the 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email address from that list as soon as poss</w:t>
      </w:r>
      <w:r>
        <w:rPr>
          <w:rFonts w:ascii="Palatino Linotype" w:hAnsi="Palatino Linotype"/>
          <w:color w:val="000000"/>
          <w:spacing w:val="-1"/>
          <w:w w:val="105"/>
          <w:sz w:val="20"/>
        </w:rPr>
        <w:t>ible.</w:t>
      </w:r>
    </w:p>
    <w:p w:rsidR="00135B15" w:rsidRDefault="001B6573">
      <w:pPr>
        <w:numPr>
          <w:ilvl w:val="0"/>
          <w:numId w:val="2"/>
        </w:numPr>
        <w:tabs>
          <w:tab w:val="clear" w:pos="432"/>
          <w:tab w:val="decimal" w:pos="504"/>
        </w:tabs>
        <w:spacing w:before="324" w:line="216" w:lineRule="auto"/>
        <w:ind w:left="504" w:hanging="432"/>
        <w:jc w:val="both"/>
        <w:rPr>
          <w:rFonts w:ascii="Palatino Linotype" w:hAnsi="Palatino Linotype"/>
          <w:color w:val="000000"/>
          <w:spacing w:val="4"/>
          <w:w w:val="105"/>
          <w:sz w:val="20"/>
        </w:rPr>
      </w:pPr>
      <w:r>
        <w:rPr>
          <w:rFonts w:ascii="Palatino Linotype" w:hAnsi="Palatino Linotype"/>
          <w:color w:val="000000"/>
          <w:spacing w:val="4"/>
          <w:w w:val="105"/>
          <w:sz w:val="20"/>
        </w:rPr>
        <w:t xml:space="preserve">In the event of a failure of one or more electronic servers, resulting in 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>delayed transmission or non</w:t>
      </w:r>
      <w:r>
        <w:rPr>
          <w:rFonts w:ascii="Palatino Linotype" w:hAnsi="Palatino Linotype"/>
          <w:color w:val="000000"/>
          <w:spacing w:val="-2"/>
          <w:w w:val="90"/>
          <w:sz w:val="26"/>
        </w:rPr>
        <w:t>‐</w:t>
      </w:r>
      <w:r>
        <w:rPr>
          <w:rFonts w:ascii="Palatino Linotype" w:hAnsi="Palatino Linotype"/>
          <w:color w:val="000000"/>
          <w:spacing w:val="-2"/>
          <w:w w:val="105"/>
          <w:sz w:val="20"/>
        </w:rPr>
        <w:t xml:space="preserve">transmission of emails, the Court may treat a </w:t>
      </w:r>
      <w:r>
        <w:rPr>
          <w:rFonts w:ascii="Palatino Linotype" w:hAnsi="Palatino Linotype"/>
          <w:color w:val="000000"/>
          <w:spacing w:val="5"/>
          <w:w w:val="105"/>
          <w:sz w:val="20"/>
        </w:rPr>
        <w:t>motion intimated or enrolled in writing or by facsimile transmission as</w:t>
      </w:r>
    </w:p>
    <w:p w:rsidR="00135B15" w:rsidRDefault="00135B15">
      <w:pPr>
        <w:sectPr w:rsidR="00135B15">
          <w:pgSz w:w="12240" w:h="15840"/>
          <w:pgMar w:top="1523" w:right="2280" w:bottom="1224" w:left="2340" w:header="720" w:footer="720" w:gutter="0"/>
          <w:cols w:space="720"/>
        </w:sectPr>
      </w:pPr>
    </w:p>
    <w:p w:rsidR="00135B15" w:rsidRDefault="001B6573">
      <w:pPr>
        <w:spacing w:before="72"/>
        <w:ind w:left="288" w:right="72"/>
        <w:rPr>
          <w:rFonts w:ascii="Palatino Linotype" w:hAnsi="Palatino Linotype"/>
          <w:color w:val="000000"/>
          <w:spacing w:val="-3"/>
          <w:w w:val="105"/>
          <w:sz w:val="20"/>
        </w:rPr>
      </w:pPr>
      <w:proofErr w:type="gramStart"/>
      <w:r>
        <w:rPr>
          <w:rFonts w:ascii="Palatino Linotype" w:hAnsi="Palatino Linotype"/>
          <w:color w:val="000000"/>
          <w:spacing w:val="-3"/>
          <w:w w:val="105"/>
          <w:sz w:val="20"/>
        </w:rPr>
        <w:lastRenderedPageBreak/>
        <w:t>though</w:t>
      </w:r>
      <w:proofErr w:type="gramEnd"/>
      <w:r>
        <w:rPr>
          <w:rFonts w:ascii="Palatino Linotype" w:hAnsi="Palatino Linotype"/>
          <w:color w:val="000000"/>
          <w:spacing w:val="-3"/>
          <w:w w:val="105"/>
          <w:sz w:val="20"/>
        </w:rPr>
        <w:t xml:space="preserve"> it had been intimated or enrolled in accordance with Parts 2 and 4 of </w:t>
      </w:r>
      <w:r>
        <w:rPr>
          <w:rFonts w:ascii="Palatino Linotype" w:hAnsi="Palatino Linotype"/>
          <w:color w:val="000000"/>
          <w:w w:val="105"/>
          <w:sz w:val="20"/>
        </w:rPr>
        <w:t>Chapter 23.</w:t>
      </w:r>
    </w:p>
    <w:p w:rsidR="00135B15" w:rsidRDefault="001B6573">
      <w:pPr>
        <w:spacing w:before="576"/>
        <w:ind w:left="5760" w:right="72" w:firstLine="72"/>
        <w:rPr>
          <w:rFonts w:ascii="Palatino Linotype" w:hAnsi="Palatino Linotype"/>
          <w:i/>
          <w:color w:val="000000"/>
          <w:spacing w:val="-1"/>
          <w:w w:val="105"/>
          <w:sz w:val="20"/>
        </w:rPr>
      </w:pPr>
      <w:proofErr w:type="spellStart"/>
      <w:r>
        <w:rPr>
          <w:rFonts w:ascii="Palatino Linotype" w:hAnsi="Palatino Linotype"/>
          <w:i/>
          <w:color w:val="000000"/>
          <w:spacing w:val="-1"/>
          <w:w w:val="105"/>
          <w:sz w:val="20"/>
        </w:rPr>
        <w:t>A.C</w:t>
      </w:r>
      <w:proofErr w:type="spellEnd"/>
      <w:r>
        <w:rPr>
          <w:rFonts w:ascii="Palatino Linotype" w:hAnsi="Palatino Linotype"/>
          <w:i/>
          <w:color w:val="000000"/>
          <w:spacing w:val="-1"/>
          <w:w w:val="105"/>
          <w:sz w:val="20"/>
        </w:rPr>
        <w:t xml:space="preserve">. HAMILTON </w:t>
      </w:r>
      <w:r>
        <w:rPr>
          <w:rFonts w:ascii="Palatino Linotype" w:hAnsi="Palatino Linotype"/>
          <w:color w:val="000000"/>
          <w:w w:val="105"/>
          <w:sz w:val="20"/>
        </w:rPr>
        <w:t>Lord President</w:t>
      </w:r>
    </w:p>
    <w:p w:rsidR="00135B15" w:rsidRDefault="001B6573">
      <w:pPr>
        <w:spacing w:before="216" w:line="273" w:lineRule="auto"/>
        <w:ind w:left="72"/>
        <w:rPr>
          <w:rFonts w:ascii="Palatino Linotype" w:hAnsi="Palatino Linotype"/>
          <w:color w:val="000000"/>
          <w:w w:val="105"/>
          <w:sz w:val="20"/>
        </w:rPr>
      </w:pPr>
      <w:r>
        <w:rPr>
          <w:rFonts w:ascii="Palatino Linotype" w:hAnsi="Palatino Linotype"/>
          <w:color w:val="000000"/>
          <w:w w:val="105"/>
          <w:sz w:val="20"/>
        </w:rPr>
        <w:t>Edinburgh</w:t>
      </w:r>
    </w:p>
    <w:p w:rsidR="00135B15" w:rsidRDefault="001B6573">
      <w:pPr>
        <w:ind w:left="72"/>
        <w:rPr>
          <w:rFonts w:ascii="Palatino Linotype" w:hAnsi="Palatino Linotype"/>
          <w:color w:val="000000"/>
          <w:w w:val="105"/>
          <w:sz w:val="20"/>
        </w:rPr>
      </w:pPr>
      <w:r>
        <w:rPr>
          <w:rFonts w:ascii="Palatino Linotype" w:hAnsi="Palatino Linotype"/>
          <w:color w:val="000000"/>
          <w:w w:val="105"/>
          <w:sz w:val="20"/>
        </w:rPr>
        <w:t>5th November 2009</w:t>
      </w:r>
    </w:p>
    <w:sectPr w:rsidR="00135B15">
      <w:pgSz w:w="12240" w:h="15840"/>
      <w:pgMar w:top="1271" w:right="2405" w:bottom="11571" w:left="22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Palatino Linotype">
    <w:charset w:val="00"/>
    <w:pitch w:val="variable"/>
    <w:family w:val="roman"/>
    <w:panose1 w:val="22635452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4F6"/>
    <w:multiLevelType w:val="multilevel"/>
    <w:tmpl w:val="A3325904"/>
    <w:lvl w:ilvl="0">
      <w:start w:val="8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Palatino Linotype" w:hAnsi="Palatino Linotype"/>
        <w:strike w:val="0"/>
        <w:color w:val="000000"/>
        <w:spacing w:val="-1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066DF7"/>
    <w:multiLevelType w:val="multilevel"/>
    <w:tmpl w:val="E42AAD4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Palatino Linotype" w:hAnsi="Palatino Linotype"/>
        <w:strike w:val="0"/>
        <w:color w:val="000000"/>
        <w:spacing w:val="3"/>
        <w:w w:val="105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15"/>
    <w:rsid w:val="00135B15"/>
    <w:rsid w:val="001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ED582D10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Cranston, Irene (Typing Manager, Supreme)</dc:creator>
  <cp:lastModifiedBy>icranston</cp:lastModifiedBy>
  <cp:revision>2</cp:revision>
  <dcterms:created xsi:type="dcterms:W3CDTF">2014-03-04T12:33:00Z</dcterms:created>
  <dcterms:modified xsi:type="dcterms:W3CDTF">2014-03-04T12:33:00Z</dcterms:modified>
</cp:coreProperties>
</file>