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8"/>
        <w:gridCol w:w="8134"/>
      </w:tblGrid>
      <w:tr w:rsidR="00F871E8" w:rsidRPr="00F871E8" w:rsidTr="003F6423">
        <w:tc>
          <w:tcPr>
            <w:tcW w:w="9242" w:type="dxa"/>
            <w:gridSpan w:val="2"/>
          </w:tcPr>
          <w:p w:rsidR="00F871E8" w:rsidRPr="00F871E8" w:rsidRDefault="00F871E8" w:rsidP="00F871E8">
            <w:pPr>
              <w:spacing w:before="120" w:after="120"/>
              <w:jc w:val="center"/>
              <w:rPr>
                <w:rFonts w:ascii="Calibri" w:eastAsia="Calibri" w:hAnsi="Calibri" w:cs="Calibri"/>
                <w:b/>
                <w:bCs/>
                <w:sz w:val="28"/>
                <w:szCs w:val="28"/>
                <w:lang w:val="en-US"/>
              </w:rPr>
            </w:pPr>
            <w:r w:rsidRPr="00F871E8">
              <w:rPr>
                <w:rFonts w:ascii="Calibri" w:eastAsia="Calibri" w:hAnsi="Calibri" w:cs="Calibri"/>
                <w:b/>
                <w:bCs/>
                <w:sz w:val="28"/>
                <w:szCs w:val="28"/>
                <w:lang w:val="en-US"/>
              </w:rPr>
              <w:t>Act of Sederunt (Child Care and Maintenance Rules) 1997</w:t>
            </w:r>
          </w:p>
          <w:p w:rsidR="00966246" w:rsidRPr="00F871E8" w:rsidRDefault="00F871E8" w:rsidP="00EA4217">
            <w:pPr>
              <w:spacing w:before="120" w:after="120"/>
              <w:jc w:val="center"/>
              <w:rPr>
                <w:rFonts w:ascii="Calibri" w:eastAsia="Calibri" w:hAnsi="Calibri" w:cs="Calibri"/>
                <w:b/>
                <w:bCs/>
                <w:sz w:val="28"/>
                <w:szCs w:val="28"/>
                <w:lang w:val="en-US"/>
              </w:rPr>
            </w:pPr>
            <w:r w:rsidRPr="00F871E8">
              <w:rPr>
                <w:rFonts w:ascii="Calibri" w:eastAsia="Calibri" w:hAnsi="Calibri" w:cs="Calibri"/>
                <w:b/>
                <w:bCs/>
                <w:sz w:val="28"/>
                <w:szCs w:val="28"/>
                <w:lang w:val="en-US"/>
              </w:rPr>
              <w:t>Statutory Instrument 1997 No. 291 (S.19)</w:t>
            </w:r>
          </w:p>
          <w:p w:rsidR="00C42D6B" w:rsidRPr="00C42D6B" w:rsidRDefault="00C42D6B" w:rsidP="00C42D6B">
            <w:pPr>
              <w:spacing w:before="120" w:after="120" w:line="276" w:lineRule="auto"/>
              <w:jc w:val="center"/>
              <w:rPr>
                <w:rFonts w:cs="Arial"/>
                <w:b/>
                <w:color w:val="FF0000"/>
                <w:sz w:val="24"/>
                <w:szCs w:val="24"/>
                <w:lang w:val="en-US"/>
              </w:rPr>
            </w:pPr>
            <w:r w:rsidRPr="00C42D6B">
              <w:rPr>
                <w:rFonts w:cs="Arial"/>
                <w:b/>
                <w:color w:val="FF0000"/>
                <w:sz w:val="24"/>
                <w:szCs w:val="24"/>
                <w:lang w:val="en-US"/>
              </w:rPr>
              <w:t xml:space="preserve">Applications lodged </w:t>
            </w:r>
            <w:r w:rsidRPr="00C42D6B">
              <w:rPr>
                <w:rFonts w:eastAsia="Calibri" w:cs="Arial"/>
                <w:b/>
                <w:color w:val="FF0000"/>
                <w:sz w:val="24"/>
                <w:szCs w:val="24"/>
                <w:lang w:val="en-US"/>
              </w:rPr>
              <w:t>on or after</w:t>
            </w:r>
            <w:r w:rsidRPr="00C42D6B">
              <w:rPr>
                <w:rFonts w:cs="Arial"/>
                <w:b/>
                <w:color w:val="FF0000"/>
                <w:sz w:val="24"/>
                <w:szCs w:val="24"/>
                <w:lang w:val="en-US"/>
              </w:rPr>
              <w:t xml:space="preserve"> 1 August 2014</w:t>
            </w:r>
          </w:p>
          <w:p w:rsidR="00F871E8" w:rsidRPr="00F871E8" w:rsidRDefault="00F871E8" w:rsidP="003F6423">
            <w:pPr>
              <w:spacing w:before="120" w:after="120"/>
              <w:rPr>
                <w:rFonts w:cs="Arial"/>
                <w:b/>
                <w:sz w:val="24"/>
                <w:szCs w:val="24"/>
                <w:lang w:val="en-US"/>
              </w:rPr>
            </w:pPr>
            <w:bookmarkStart w:id="0" w:name="_GoBack"/>
            <w:bookmarkEnd w:id="0"/>
          </w:p>
        </w:tc>
      </w:tr>
      <w:tr w:rsidR="007865A1" w:rsidRPr="00F871E8" w:rsidTr="003F6423">
        <w:tc>
          <w:tcPr>
            <w:tcW w:w="9242" w:type="dxa"/>
            <w:gridSpan w:val="2"/>
          </w:tcPr>
          <w:p w:rsidR="007865A1" w:rsidRPr="00F871E8" w:rsidRDefault="007865A1" w:rsidP="003F6423">
            <w:pPr>
              <w:spacing w:before="120" w:after="120"/>
              <w:rPr>
                <w:rFonts w:cs="Arial"/>
                <w:b/>
                <w:color w:val="0000FF"/>
                <w:sz w:val="24"/>
                <w:szCs w:val="24"/>
                <w:u w:val="single"/>
                <w:lang w:val="en-US"/>
              </w:rPr>
            </w:pPr>
            <w:r w:rsidRPr="00F871E8">
              <w:rPr>
                <w:rFonts w:cs="Arial"/>
                <w:b/>
                <w:sz w:val="24"/>
                <w:szCs w:val="24"/>
                <w:lang w:val="en-US"/>
              </w:rPr>
              <w:t>PART V  INCOMING ORDERS UNDER THE 1972 ACT</w:t>
            </w:r>
          </w:p>
        </w:tc>
      </w:tr>
      <w:tr w:rsidR="007865A1" w:rsidRPr="00F871E8" w:rsidTr="003F6423">
        <w:tc>
          <w:tcPr>
            <w:tcW w:w="1108" w:type="dxa"/>
          </w:tcPr>
          <w:p w:rsidR="007865A1" w:rsidRPr="00F871E8" w:rsidRDefault="007865A1" w:rsidP="003F6423">
            <w:pPr>
              <w:spacing w:before="120" w:after="120"/>
              <w:rPr>
                <w:rFonts w:cs="Arial"/>
                <w:b/>
                <w:sz w:val="24"/>
                <w:szCs w:val="24"/>
              </w:rPr>
            </w:pPr>
            <w:r w:rsidRPr="00F871E8">
              <w:rPr>
                <w:rFonts w:cs="Arial"/>
                <w:b/>
                <w:sz w:val="24"/>
                <w:szCs w:val="24"/>
              </w:rPr>
              <w:t>5.29</w:t>
            </w:r>
          </w:p>
        </w:tc>
        <w:tc>
          <w:tcPr>
            <w:tcW w:w="8134" w:type="dxa"/>
          </w:tcPr>
          <w:p w:rsidR="007865A1" w:rsidRPr="00F871E8" w:rsidRDefault="00C42D6B" w:rsidP="003F6423">
            <w:pPr>
              <w:spacing w:before="120" w:after="120"/>
              <w:rPr>
                <w:rFonts w:cs="Arial"/>
                <w:b/>
                <w:color w:val="000000"/>
                <w:sz w:val="24"/>
                <w:szCs w:val="24"/>
                <w:lang w:val="en-US"/>
              </w:rPr>
            </w:pPr>
            <w:hyperlink w:anchor="r0529" w:history="1">
              <w:r w:rsidR="007865A1" w:rsidRPr="00F871E8">
                <w:rPr>
                  <w:rStyle w:val="Hyperlink"/>
                  <w:rFonts w:cs="Arial"/>
                  <w:b/>
                  <w:sz w:val="24"/>
                  <w:szCs w:val="24"/>
                  <w:lang w:val="en-US"/>
                </w:rPr>
                <w:t>Provisions in relation to intimation and entering appearance</w:t>
              </w:r>
            </w:hyperlink>
          </w:p>
        </w:tc>
      </w:tr>
      <w:tr w:rsidR="007865A1" w:rsidRPr="00F871E8" w:rsidTr="003F6423">
        <w:tc>
          <w:tcPr>
            <w:tcW w:w="1108" w:type="dxa"/>
          </w:tcPr>
          <w:p w:rsidR="007865A1" w:rsidRPr="00F871E8" w:rsidRDefault="007865A1" w:rsidP="003F6423">
            <w:pPr>
              <w:spacing w:before="120" w:after="120"/>
              <w:rPr>
                <w:rFonts w:cs="Arial"/>
                <w:b/>
                <w:sz w:val="24"/>
                <w:szCs w:val="24"/>
              </w:rPr>
            </w:pPr>
            <w:r w:rsidRPr="00F871E8">
              <w:rPr>
                <w:rFonts w:cs="Arial"/>
                <w:b/>
                <w:sz w:val="24"/>
                <w:szCs w:val="24"/>
              </w:rPr>
              <w:t>5.30</w:t>
            </w:r>
          </w:p>
        </w:tc>
        <w:tc>
          <w:tcPr>
            <w:tcW w:w="8134" w:type="dxa"/>
          </w:tcPr>
          <w:p w:rsidR="007865A1" w:rsidRPr="00F871E8" w:rsidRDefault="00C42D6B" w:rsidP="003F6423">
            <w:pPr>
              <w:spacing w:before="120" w:after="120"/>
              <w:rPr>
                <w:rFonts w:cs="Arial"/>
                <w:b/>
                <w:color w:val="000000"/>
                <w:sz w:val="24"/>
                <w:szCs w:val="24"/>
                <w:lang w:val="en-US"/>
              </w:rPr>
            </w:pPr>
            <w:hyperlink w:anchor="r0530" w:history="1">
              <w:r w:rsidR="007865A1" w:rsidRPr="00F871E8">
                <w:rPr>
                  <w:rStyle w:val="Hyperlink"/>
                  <w:rFonts w:cs="Arial"/>
                  <w:b/>
                  <w:sz w:val="24"/>
                  <w:szCs w:val="24"/>
                  <w:lang w:val="en-US"/>
                </w:rPr>
                <w:t>Authentication of documents</w:t>
              </w:r>
            </w:hyperlink>
          </w:p>
        </w:tc>
      </w:tr>
      <w:tr w:rsidR="007865A1" w:rsidRPr="00F871E8" w:rsidTr="003F6423">
        <w:tc>
          <w:tcPr>
            <w:tcW w:w="1108" w:type="dxa"/>
          </w:tcPr>
          <w:p w:rsidR="007865A1" w:rsidRPr="00F871E8" w:rsidRDefault="007865A1" w:rsidP="003F6423">
            <w:pPr>
              <w:spacing w:before="120" w:after="120"/>
              <w:rPr>
                <w:rFonts w:cs="Arial"/>
                <w:b/>
                <w:sz w:val="24"/>
                <w:szCs w:val="24"/>
              </w:rPr>
            </w:pPr>
            <w:r w:rsidRPr="00F871E8">
              <w:rPr>
                <w:rFonts w:cs="Arial"/>
                <w:b/>
                <w:sz w:val="24"/>
                <w:szCs w:val="24"/>
              </w:rPr>
              <w:t>5.31</w:t>
            </w:r>
          </w:p>
        </w:tc>
        <w:tc>
          <w:tcPr>
            <w:tcW w:w="8134" w:type="dxa"/>
          </w:tcPr>
          <w:p w:rsidR="007865A1" w:rsidRPr="00F871E8" w:rsidRDefault="00C42D6B" w:rsidP="003F6423">
            <w:pPr>
              <w:spacing w:before="120" w:after="120"/>
              <w:rPr>
                <w:rFonts w:cs="Arial"/>
                <w:b/>
                <w:color w:val="000000"/>
                <w:sz w:val="24"/>
                <w:szCs w:val="24"/>
                <w:lang w:val="en-US"/>
              </w:rPr>
            </w:pPr>
            <w:hyperlink w:anchor="r0531" w:history="1">
              <w:r w:rsidR="007865A1" w:rsidRPr="00F871E8">
                <w:rPr>
                  <w:rStyle w:val="Hyperlink"/>
                  <w:rFonts w:cs="Arial"/>
                  <w:b/>
                  <w:sz w:val="24"/>
                  <w:szCs w:val="24"/>
                  <w:lang w:val="en-US"/>
                </w:rPr>
                <w:t>Application under sections 9 and 20 of the 1972 Act</w:t>
              </w:r>
            </w:hyperlink>
          </w:p>
        </w:tc>
      </w:tr>
      <w:tr w:rsidR="007865A1" w:rsidRPr="00F871E8" w:rsidTr="003F6423">
        <w:tc>
          <w:tcPr>
            <w:tcW w:w="1108" w:type="dxa"/>
          </w:tcPr>
          <w:p w:rsidR="007865A1" w:rsidRPr="00F871E8" w:rsidRDefault="007865A1" w:rsidP="003F6423">
            <w:pPr>
              <w:spacing w:before="120" w:after="120"/>
              <w:rPr>
                <w:rFonts w:cs="Arial"/>
                <w:b/>
                <w:sz w:val="24"/>
                <w:szCs w:val="24"/>
              </w:rPr>
            </w:pPr>
            <w:r w:rsidRPr="00F871E8">
              <w:rPr>
                <w:rFonts w:cs="Arial"/>
                <w:b/>
                <w:sz w:val="24"/>
                <w:szCs w:val="24"/>
              </w:rPr>
              <w:t>5.32</w:t>
            </w:r>
          </w:p>
        </w:tc>
        <w:tc>
          <w:tcPr>
            <w:tcW w:w="8134" w:type="dxa"/>
          </w:tcPr>
          <w:p w:rsidR="007865A1" w:rsidRPr="00F871E8" w:rsidRDefault="00C42D6B" w:rsidP="003F6423">
            <w:pPr>
              <w:spacing w:before="120" w:after="120"/>
              <w:rPr>
                <w:rFonts w:cs="Arial"/>
                <w:b/>
                <w:color w:val="000000"/>
                <w:sz w:val="24"/>
                <w:szCs w:val="24"/>
                <w:lang w:val="en-US"/>
              </w:rPr>
            </w:pPr>
            <w:hyperlink w:anchor="r0532" w:history="1">
              <w:r w:rsidR="007865A1" w:rsidRPr="00F871E8">
                <w:rPr>
                  <w:rStyle w:val="Hyperlink"/>
                  <w:rFonts w:cs="Arial"/>
                  <w:b/>
                  <w:sz w:val="24"/>
                  <w:szCs w:val="24"/>
                  <w:lang w:val="en-US"/>
                </w:rPr>
                <w:t>Information to be provided where payer has ceased to reside in Scotland</w:t>
              </w:r>
            </w:hyperlink>
          </w:p>
        </w:tc>
      </w:tr>
      <w:tr w:rsidR="007865A1" w:rsidRPr="00F871E8" w:rsidTr="003F6423">
        <w:tc>
          <w:tcPr>
            <w:tcW w:w="1108" w:type="dxa"/>
          </w:tcPr>
          <w:p w:rsidR="007865A1" w:rsidRPr="00F871E8" w:rsidRDefault="007865A1" w:rsidP="003F6423">
            <w:pPr>
              <w:spacing w:before="120" w:after="120"/>
              <w:rPr>
                <w:rFonts w:cs="Arial"/>
                <w:b/>
                <w:sz w:val="24"/>
                <w:szCs w:val="24"/>
              </w:rPr>
            </w:pPr>
            <w:r w:rsidRPr="00F871E8">
              <w:rPr>
                <w:rFonts w:cs="Arial"/>
                <w:b/>
                <w:sz w:val="24"/>
                <w:szCs w:val="24"/>
              </w:rPr>
              <w:t>5.33</w:t>
            </w:r>
          </w:p>
        </w:tc>
        <w:tc>
          <w:tcPr>
            <w:tcW w:w="8134" w:type="dxa"/>
          </w:tcPr>
          <w:p w:rsidR="007865A1" w:rsidRPr="00F871E8" w:rsidRDefault="00C42D6B" w:rsidP="003F6423">
            <w:pPr>
              <w:spacing w:before="120" w:after="120"/>
              <w:rPr>
                <w:rFonts w:cs="Arial"/>
                <w:b/>
                <w:color w:val="000000"/>
                <w:sz w:val="24"/>
                <w:szCs w:val="24"/>
                <w:lang w:val="en-US"/>
              </w:rPr>
            </w:pPr>
            <w:hyperlink w:anchor="r0533" w:history="1">
              <w:r w:rsidR="007865A1" w:rsidRPr="00F871E8">
                <w:rPr>
                  <w:rStyle w:val="Hyperlink"/>
                  <w:rFonts w:cs="Arial"/>
                  <w:b/>
                  <w:sz w:val="24"/>
                  <w:szCs w:val="24"/>
                  <w:lang w:val="en-US"/>
                </w:rPr>
                <w:t>Evidence</w:t>
              </w:r>
            </w:hyperlink>
          </w:p>
        </w:tc>
      </w:tr>
      <w:tr w:rsidR="007865A1" w:rsidRPr="00F871E8" w:rsidTr="003F6423">
        <w:tc>
          <w:tcPr>
            <w:tcW w:w="1108" w:type="dxa"/>
          </w:tcPr>
          <w:p w:rsidR="007865A1" w:rsidRPr="00F871E8" w:rsidRDefault="007865A1" w:rsidP="003F6423">
            <w:pPr>
              <w:spacing w:before="120" w:after="120"/>
              <w:rPr>
                <w:rFonts w:cs="Arial"/>
                <w:b/>
                <w:sz w:val="24"/>
                <w:szCs w:val="24"/>
              </w:rPr>
            </w:pPr>
            <w:r w:rsidRPr="00F871E8">
              <w:rPr>
                <w:rFonts w:cs="Arial"/>
                <w:b/>
                <w:sz w:val="24"/>
                <w:szCs w:val="24"/>
              </w:rPr>
              <w:t>5.36</w:t>
            </w:r>
          </w:p>
        </w:tc>
        <w:tc>
          <w:tcPr>
            <w:tcW w:w="8134" w:type="dxa"/>
          </w:tcPr>
          <w:p w:rsidR="007865A1" w:rsidRPr="00F871E8" w:rsidRDefault="00C42D6B" w:rsidP="003F6423">
            <w:pPr>
              <w:spacing w:before="120" w:after="120"/>
              <w:rPr>
                <w:rFonts w:cs="Arial"/>
                <w:b/>
                <w:color w:val="000000"/>
                <w:sz w:val="24"/>
                <w:szCs w:val="24"/>
                <w:lang w:val="en-US"/>
              </w:rPr>
            </w:pPr>
            <w:hyperlink w:anchor="r0536" w:history="1">
              <w:r w:rsidR="007865A1" w:rsidRPr="00F871E8">
                <w:rPr>
                  <w:rStyle w:val="Hyperlink"/>
                  <w:rFonts w:cs="Arial"/>
                  <w:b/>
                  <w:sz w:val="24"/>
                  <w:szCs w:val="24"/>
                  <w:lang w:val="en-US"/>
                </w:rPr>
                <w:t>Intimation of registration of, or refusal to register, an order made in a Hague Convention Country</w:t>
              </w:r>
            </w:hyperlink>
          </w:p>
        </w:tc>
      </w:tr>
      <w:tr w:rsidR="007865A1" w:rsidRPr="00F871E8" w:rsidTr="003F6423">
        <w:trPr>
          <w:trHeight w:val="1989"/>
        </w:trPr>
        <w:tc>
          <w:tcPr>
            <w:tcW w:w="1108" w:type="dxa"/>
          </w:tcPr>
          <w:p w:rsidR="007865A1" w:rsidRPr="00F871E8" w:rsidRDefault="007865A1" w:rsidP="003F6423">
            <w:pPr>
              <w:rPr>
                <w:rFonts w:cs="Arial"/>
                <w:b/>
                <w:sz w:val="24"/>
                <w:szCs w:val="24"/>
              </w:rPr>
            </w:pPr>
            <w:r w:rsidRPr="00F871E8">
              <w:rPr>
                <w:rFonts w:cs="Arial"/>
                <w:b/>
                <w:sz w:val="24"/>
                <w:szCs w:val="24"/>
              </w:rPr>
              <w:t>5.37</w:t>
            </w:r>
          </w:p>
          <w:p w:rsidR="007865A1" w:rsidRPr="00F871E8" w:rsidRDefault="007865A1" w:rsidP="003F6423">
            <w:pPr>
              <w:rPr>
                <w:rFonts w:cs="Arial"/>
                <w:b/>
                <w:sz w:val="24"/>
                <w:szCs w:val="24"/>
              </w:rPr>
            </w:pPr>
          </w:p>
          <w:p w:rsidR="007865A1" w:rsidRPr="00F871E8" w:rsidRDefault="007865A1" w:rsidP="003F6423">
            <w:pPr>
              <w:rPr>
                <w:rFonts w:cs="Arial"/>
                <w:b/>
                <w:sz w:val="24"/>
                <w:szCs w:val="24"/>
              </w:rPr>
            </w:pPr>
          </w:p>
          <w:p w:rsidR="007865A1" w:rsidRPr="00F871E8" w:rsidRDefault="007865A1" w:rsidP="003F6423">
            <w:pPr>
              <w:rPr>
                <w:rFonts w:cs="Arial"/>
                <w:b/>
                <w:sz w:val="24"/>
                <w:szCs w:val="24"/>
              </w:rPr>
            </w:pPr>
            <w:r w:rsidRPr="00F871E8">
              <w:rPr>
                <w:rFonts w:cs="Arial"/>
                <w:b/>
                <w:sz w:val="24"/>
                <w:szCs w:val="24"/>
              </w:rPr>
              <w:t>5.37A</w:t>
            </w:r>
          </w:p>
          <w:p w:rsidR="007865A1" w:rsidRPr="00F871E8" w:rsidRDefault="007865A1" w:rsidP="003F6423">
            <w:pPr>
              <w:rPr>
                <w:rFonts w:cs="Arial"/>
                <w:b/>
                <w:sz w:val="24"/>
                <w:szCs w:val="24"/>
              </w:rPr>
            </w:pPr>
          </w:p>
          <w:p w:rsidR="007865A1" w:rsidRPr="00F871E8" w:rsidRDefault="007865A1" w:rsidP="003F6423">
            <w:pPr>
              <w:rPr>
                <w:rFonts w:cs="Arial"/>
                <w:b/>
                <w:sz w:val="24"/>
                <w:szCs w:val="24"/>
              </w:rPr>
            </w:pPr>
            <w:r w:rsidRPr="00F871E8">
              <w:rPr>
                <w:rFonts w:cs="Arial"/>
                <w:b/>
                <w:sz w:val="24"/>
                <w:szCs w:val="24"/>
              </w:rPr>
              <w:t>5.37B</w:t>
            </w:r>
          </w:p>
        </w:tc>
        <w:tc>
          <w:tcPr>
            <w:tcW w:w="8134" w:type="dxa"/>
          </w:tcPr>
          <w:p w:rsidR="007865A1" w:rsidRPr="00F871E8" w:rsidRDefault="00C42D6B" w:rsidP="003F6423">
            <w:pPr>
              <w:rPr>
                <w:rFonts w:cs="Arial"/>
                <w:b/>
                <w:sz w:val="24"/>
                <w:szCs w:val="24"/>
              </w:rPr>
            </w:pPr>
            <w:hyperlink w:anchor="r0537" w:history="1">
              <w:r w:rsidR="007865A1" w:rsidRPr="00F871E8">
                <w:rPr>
                  <w:rStyle w:val="Hyperlink"/>
                  <w:rFonts w:cs="Arial"/>
                  <w:b/>
                  <w:sz w:val="24"/>
                  <w:szCs w:val="24"/>
                </w:rPr>
                <w:t>Application to set aside registration of, or to set aside decision not to register, an order made in a Hague Convention Country</w:t>
              </w:r>
            </w:hyperlink>
          </w:p>
          <w:p w:rsidR="007865A1" w:rsidRPr="00F871E8" w:rsidRDefault="007865A1" w:rsidP="003F6423">
            <w:pPr>
              <w:rPr>
                <w:rFonts w:cs="Arial"/>
                <w:b/>
                <w:sz w:val="24"/>
                <w:szCs w:val="24"/>
              </w:rPr>
            </w:pPr>
          </w:p>
          <w:p w:rsidR="007865A1" w:rsidRPr="00F871E8" w:rsidRDefault="00C42D6B" w:rsidP="003F6423">
            <w:pPr>
              <w:rPr>
                <w:rFonts w:cs="Arial"/>
                <w:b/>
                <w:sz w:val="24"/>
                <w:szCs w:val="24"/>
              </w:rPr>
            </w:pPr>
            <w:hyperlink w:anchor="r0537A" w:history="1">
              <w:r w:rsidR="007865A1" w:rsidRPr="00F871E8">
                <w:rPr>
                  <w:rStyle w:val="Hyperlink"/>
                  <w:rFonts w:cs="Arial"/>
                  <w:b/>
                  <w:sz w:val="24"/>
                  <w:szCs w:val="24"/>
                </w:rPr>
                <w:t>Taking of evidence at the request of a court in the USA</w:t>
              </w:r>
            </w:hyperlink>
          </w:p>
          <w:p w:rsidR="007865A1" w:rsidRPr="00F871E8" w:rsidRDefault="007865A1" w:rsidP="003F6423">
            <w:pPr>
              <w:rPr>
                <w:rFonts w:cs="Arial"/>
                <w:b/>
                <w:sz w:val="24"/>
                <w:szCs w:val="24"/>
              </w:rPr>
            </w:pPr>
          </w:p>
          <w:p w:rsidR="007865A1" w:rsidRPr="00F871E8" w:rsidRDefault="00C42D6B" w:rsidP="003F6423">
            <w:pPr>
              <w:rPr>
                <w:rFonts w:cs="Arial"/>
                <w:b/>
                <w:sz w:val="24"/>
                <w:szCs w:val="24"/>
              </w:rPr>
            </w:pPr>
            <w:hyperlink w:anchor="r0537B" w:history="1">
              <w:r w:rsidR="007865A1" w:rsidRPr="00F871E8">
                <w:rPr>
                  <w:rStyle w:val="Hyperlink"/>
                  <w:rFonts w:cs="Arial"/>
                  <w:b/>
                  <w:sz w:val="24"/>
                  <w:szCs w:val="24"/>
                </w:rPr>
                <w:t>Communication with courts in the USA</w:t>
              </w:r>
            </w:hyperlink>
          </w:p>
          <w:p w:rsidR="007865A1" w:rsidRPr="00F871E8" w:rsidRDefault="007865A1" w:rsidP="003F6423">
            <w:pPr>
              <w:rPr>
                <w:rFonts w:cs="Arial"/>
                <w:b/>
                <w:sz w:val="24"/>
                <w:szCs w:val="24"/>
              </w:rPr>
            </w:pPr>
          </w:p>
        </w:tc>
      </w:tr>
    </w:tbl>
    <w:p w:rsidR="0025192D" w:rsidRPr="00F871E8" w:rsidRDefault="00C42D6B">
      <w:pPr>
        <w:rPr>
          <w:rFonts w:cs="Arial"/>
        </w:rPr>
      </w:pPr>
    </w:p>
    <w:p w:rsidR="007865A1" w:rsidRPr="00F871E8" w:rsidRDefault="007865A1">
      <w:pPr>
        <w:rPr>
          <w:rFonts w:cs="Arial"/>
        </w:rPr>
      </w:pPr>
    </w:p>
    <w:p w:rsidR="007865A1" w:rsidRPr="00F871E8" w:rsidRDefault="007865A1">
      <w:pPr>
        <w:rPr>
          <w:rFonts w:cs="Arial"/>
        </w:rPr>
      </w:pPr>
    </w:p>
    <w:p w:rsidR="007865A1" w:rsidRPr="00F871E8" w:rsidRDefault="007865A1">
      <w:pPr>
        <w:rPr>
          <w:rFonts w:cs="Arial"/>
        </w:rPr>
      </w:pPr>
    </w:p>
    <w:p w:rsidR="007865A1" w:rsidRPr="00F871E8" w:rsidRDefault="007865A1" w:rsidP="007865A1">
      <w:pPr>
        <w:spacing w:after="120"/>
        <w:jc w:val="both"/>
        <w:rPr>
          <w:rFonts w:cs="Arial"/>
          <w:b/>
          <w:bCs/>
          <w:sz w:val="24"/>
          <w:szCs w:val="24"/>
          <w:lang w:val="en-US"/>
        </w:rPr>
      </w:pPr>
      <w:bookmarkStart w:id="1" w:name="r0529"/>
      <w:r w:rsidRPr="00F871E8">
        <w:rPr>
          <w:rFonts w:cs="Arial"/>
          <w:b/>
          <w:bCs/>
          <w:sz w:val="24"/>
          <w:szCs w:val="24"/>
          <w:lang w:val="en-US"/>
        </w:rPr>
        <w:t>Provisions in relation to intimation and entering appearance</w:t>
      </w:r>
    </w:p>
    <w:bookmarkEnd w:id="1"/>
    <w:p w:rsidR="007865A1" w:rsidRPr="00F871E8" w:rsidRDefault="007865A1" w:rsidP="00F871E8">
      <w:pPr>
        <w:spacing w:after="120"/>
        <w:ind w:left="720" w:hanging="720"/>
        <w:jc w:val="both"/>
        <w:rPr>
          <w:rFonts w:cs="Arial"/>
          <w:sz w:val="24"/>
          <w:szCs w:val="24"/>
          <w:lang w:val="en-US"/>
        </w:rPr>
      </w:pPr>
      <w:r w:rsidRPr="00F871E8">
        <w:rPr>
          <w:rFonts w:cs="Arial"/>
          <w:b/>
          <w:bCs/>
          <w:sz w:val="24"/>
          <w:szCs w:val="24"/>
          <w:lang w:val="en-US"/>
        </w:rPr>
        <w:t>5.29</w:t>
      </w:r>
      <w:r w:rsidRPr="00F871E8">
        <w:rPr>
          <w:rFonts w:cs="Arial"/>
          <w:b/>
          <w:bCs/>
          <w:sz w:val="24"/>
          <w:szCs w:val="24"/>
          <w:lang w:val="en-US"/>
        </w:rPr>
        <w:tab/>
      </w:r>
      <w:r w:rsidRPr="00F871E8">
        <w:rPr>
          <w:rFonts w:cs="Arial"/>
          <w:sz w:val="24"/>
          <w:szCs w:val="24"/>
          <w:lang w:val="en-US"/>
        </w:rPr>
        <w:t>(1)</w:t>
      </w:r>
      <w:r w:rsidRPr="00F871E8">
        <w:rPr>
          <w:rFonts w:cs="Arial"/>
          <w:sz w:val="24"/>
          <w:szCs w:val="24"/>
          <w:lang w:val="en-US"/>
        </w:rPr>
        <w:tab/>
        <w:t>Where the 1972 Act provides that on intimation to a payer of the receipt by the court of a provisional order the payer is to enter appearance within a prescribed period, intimation shall be given in Form 67 and the period shall be-</w:t>
      </w:r>
    </w:p>
    <w:p w:rsidR="007865A1" w:rsidRPr="00F871E8" w:rsidRDefault="007865A1" w:rsidP="00F871E8">
      <w:pPr>
        <w:spacing w:after="120"/>
        <w:ind w:left="2160" w:hanging="720"/>
        <w:jc w:val="both"/>
        <w:rPr>
          <w:rFonts w:cs="Arial"/>
          <w:sz w:val="24"/>
          <w:szCs w:val="24"/>
          <w:lang w:val="en-US"/>
        </w:rPr>
      </w:pPr>
      <w:r w:rsidRPr="00F871E8">
        <w:rPr>
          <w:rFonts w:cs="Arial"/>
          <w:sz w:val="24"/>
          <w:szCs w:val="24"/>
          <w:lang w:val="en-US"/>
        </w:rPr>
        <w:t>(a)</w:t>
      </w:r>
      <w:r w:rsidRPr="00F871E8">
        <w:rPr>
          <w:rFonts w:cs="Arial"/>
          <w:sz w:val="24"/>
          <w:szCs w:val="24"/>
          <w:lang w:val="en-US"/>
        </w:rPr>
        <w:tab/>
        <w:t>21 days from the date of posting where the payer is resident in Europe; and</w:t>
      </w:r>
    </w:p>
    <w:p w:rsidR="007865A1" w:rsidRPr="00F871E8" w:rsidRDefault="007865A1" w:rsidP="00F871E8">
      <w:pPr>
        <w:spacing w:after="120"/>
        <w:ind w:left="2160" w:hanging="720"/>
        <w:jc w:val="both"/>
        <w:rPr>
          <w:rFonts w:cs="Arial"/>
          <w:sz w:val="24"/>
          <w:szCs w:val="24"/>
          <w:lang w:val="en-US"/>
        </w:rPr>
      </w:pPr>
      <w:r w:rsidRPr="00F871E8">
        <w:rPr>
          <w:rFonts w:cs="Arial"/>
          <w:sz w:val="24"/>
          <w:szCs w:val="24"/>
          <w:lang w:val="en-US"/>
        </w:rPr>
        <w:t>(b)</w:t>
      </w:r>
      <w:r w:rsidRPr="00F871E8">
        <w:rPr>
          <w:rFonts w:cs="Arial"/>
          <w:sz w:val="24"/>
          <w:szCs w:val="24"/>
          <w:lang w:val="en-US"/>
        </w:rPr>
        <w:tab/>
        <w:t>42 days from the date of posting where the payer is resident outside Europe.</w:t>
      </w:r>
    </w:p>
    <w:p w:rsidR="007865A1" w:rsidRPr="00F871E8" w:rsidRDefault="007865A1" w:rsidP="00F871E8">
      <w:pPr>
        <w:spacing w:after="120"/>
        <w:ind w:left="720"/>
        <w:jc w:val="both"/>
        <w:rPr>
          <w:rFonts w:cs="Arial"/>
          <w:sz w:val="24"/>
          <w:szCs w:val="24"/>
          <w:lang w:val="en-US"/>
        </w:rPr>
      </w:pPr>
      <w:r w:rsidRPr="00F871E8">
        <w:rPr>
          <w:rFonts w:cs="Arial"/>
          <w:sz w:val="24"/>
          <w:szCs w:val="24"/>
          <w:lang w:val="en-US"/>
        </w:rPr>
        <w:t>(2)</w:t>
      </w:r>
      <w:r w:rsidRPr="00F871E8">
        <w:rPr>
          <w:rFonts w:cs="Arial"/>
          <w:sz w:val="24"/>
          <w:szCs w:val="24"/>
          <w:lang w:val="en-US"/>
        </w:rPr>
        <w:tab/>
        <w:t xml:space="preserve">To enter appearance in terms of section 7(4) or 9(7) of the 1972 Act, the payer shall lodge an application </w:t>
      </w:r>
    </w:p>
    <w:p w:rsidR="007865A1" w:rsidRPr="00F871E8" w:rsidRDefault="007865A1" w:rsidP="007865A1">
      <w:pPr>
        <w:spacing w:after="120"/>
        <w:ind w:left="720" w:firstLine="720"/>
        <w:jc w:val="both"/>
        <w:rPr>
          <w:rFonts w:cs="Arial"/>
          <w:sz w:val="24"/>
          <w:szCs w:val="24"/>
          <w:lang w:val="en-US"/>
        </w:rPr>
      </w:pPr>
      <w:r w:rsidRPr="00F871E8">
        <w:rPr>
          <w:rFonts w:cs="Arial"/>
          <w:sz w:val="24"/>
          <w:szCs w:val="24"/>
          <w:lang w:val="en-US"/>
        </w:rPr>
        <w:t>(a)</w:t>
      </w:r>
      <w:r w:rsidRPr="00F871E8">
        <w:rPr>
          <w:rFonts w:cs="Arial"/>
          <w:sz w:val="24"/>
          <w:szCs w:val="24"/>
          <w:lang w:val="en-US"/>
        </w:rPr>
        <w:tab/>
        <w:t>stating that he opposes confirmation of the order; and</w:t>
      </w:r>
    </w:p>
    <w:p w:rsidR="007865A1" w:rsidRPr="00F871E8" w:rsidRDefault="007865A1" w:rsidP="007865A1">
      <w:pPr>
        <w:spacing w:after="120"/>
        <w:ind w:left="720" w:firstLine="720"/>
        <w:jc w:val="both"/>
        <w:rPr>
          <w:rFonts w:cs="Arial"/>
          <w:sz w:val="24"/>
          <w:szCs w:val="24"/>
          <w:lang w:val="en-US"/>
        </w:rPr>
      </w:pPr>
      <w:r w:rsidRPr="00F871E8">
        <w:rPr>
          <w:rFonts w:cs="Arial"/>
          <w:sz w:val="24"/>
          <w:szCs w:val="24"/>
          <w:lang w:val="en-US"/>
        </w:rPr>
        <w:t>(b)</w:t>
      </w:r>
      <w:r w:rsidRPr="00F871E8">
        <w:rPr>
          <w:rFonts w:cs="Arial"/>
          <w:sz w:val="24"/>
          <w:szCs w:val="24"/>
          <w:lang w:val="en-US"/>
        </w:rPr>
        <w:tab/>
        <w:t>setting forth averments in answer to the case upon which the provisional order was made, supported by appropriate pleas-in-law.</w:t>
      </w:r>
    </w:p>
    <w:p w:rsidR="007865A1" w:rsidRPr="00F871E8" w:rsidRDefault="007865A1" w:rsidP="00F871E8">
      <w:pPr>
        <w:spacing w:after="120"/>
        <w:ind w:left="720"/>
        <w:jc w:val="both"/>
        <w:rPr>
          <w:rFonts w:cs="Arial"/>
          <w:sz w:val="24"/>
          <w:szCs w:val="24"/>
          <w:lang w:val="en-US"/>
        </w:rPr>
      </w:pPr>
      <w:r w:rsidRPr="00F871E8">
        <w:rPr>
          <w:rFonts w:cs="Arial"/>
          <w:sz w:val="24"/>
          <w:szCs w:val="24"/>
          <w:lang w:val="en-US"/>
        </w:rPr>
        <w:lastRenderedPageBreak/>
        <w:t>(3)</w:t>
      </w:r>
      <w:r w:rsidRPr="00F871E8">
        <w:rPr>
          <w:rFonts w:cs="Arial"/>
          <w:sz w:val="24"/>
          <w:szCs w:val="24"/>
          <w:lang w:val="en-US"/>
        </w:rPr>
        <w:tab/>
        <w:t>Where the payer enters appearance in terms of section 7(4) of the 1972 Act, the sheriff shall appoint a diet for the hearing of evidence or make such other order as may be appropriate to enable the court to proceed in accordance with the procedure and practice in ordinary civil proceedings in the sheriff court as if an application for a maintenance order against the payer had been made to it.</w:t>
      </w:r>
    </w:p>
    <w:p w:rsidR="007865A1" w:rsidRPr="00F871E8" w:rsidRDefault="007865A1" w:rsidP="00F871E8">
      <w:pPr>
        <w:spacing w:after="120"/>
        <w:ind w:left="720"/>
        <w:jc w:val="both"/>
        <w:rPr>
          <w:rFonts w:cs="Arial"/>
          <w:sz w:val="24"/>
          <w:szCs w:val="24"/>
          <w:lang w:val="en-US"/>
        </w:rPr>
      </w:pPr>
      <w:r w:rsidRPr="00F871E8">
        <w:rPr>
          <w:rFonts w:cs="Arial"/>
          <w:sz w:val="24"/>
          <w:szCs w:val="24"/>
          <w:lang w:val="en-US"/>
        </w:rPr>
        <w:t>(4)</w:t>
      </w:r>
      <w:r w:rsidRPr="00F871E8">
        <w:rPr>
          <w:rFonts w:cs="Arial"/>
          <w:sz w:val="24"/>
          <w:szCs w:val="24"/>
          <w:lang w:val="en-US"/>
        </w:rPr>
        <w:tab/>
        <w:t>Where the payer enters appearance in terms of section 9(7) of the 1972 Act, the sheriff shall appoint a diet for the hearing of evidence or make such other order as may be appropriate to enable the court to proceed in accordance with the procedure and practice in ordinary civil proceedings in the sheriff court as if an application for the variation of the maintenance order had been made to it.</w:t>
      </w:r>
    </w:p>
    <w:p w:rsidR="007865A1" w:rsidRPr="00F871E8" w:rsidRDefault="007865A1" w:rsidP="007865A1">
      <w:pPr>
        <w:spacing w:after="120"/>
        <w:jc w:val="both"/>
        <w:rPr>
          <w:rFonts w:cs="Arial"/>
          <w:sz w:val="24"/>
          <w:szCs w:val="24"/>
          <w:lang w:val="en-US"/>
        </w:rPr>
      </w:pPr>
    </w:p>
    <w:p w:rsidR="007865A1" w:rsidRPr="00F871E8" w:rsidRDefault="007865A1" w:rsidP="007865A1">
      <w:pPr>
        <w:spacing w:after="120"/>
        <w:jc w:val="both"/>
        <w:rPr>
          <w:rFonts w:cs="Arial"/>
          <w:b/>
          <w:bCs/>
          <w:sz w:val="24"/>
          <w:szCs w:val="24"/>
          <w:lang w:val="en-US"/>
        </w:rPr>
      </w:pPr>
      <w:bookmarkStart w:id="2" w:name="r0530"/>
      <w:r w:rsidRPr="00F871E8">
        <w:rPr>
          <w:rFonts w:cs="Arial"/>
          <w:b/>
          <w:bCs/>
          <w:sz w:val="24"/>
          <w:szCs w:val="24"/>
          <w:lang w:val="en-US"/>
        </w:rPr>
        <w:t>Authentication of documents</w:t>
      </w:r>
      <w:bookmarkEnd w:id="2"/>
    </w:p>
    <w:p w:rsidR="007865A1" w:rsidRPr="00F871E8" w:rsidRDefault="007865A1" w:rsidP="00F871E8">
      <w:pPr>
        <w:spacing w:after="120"/>
        <w:ind w:left="720" w:hanging="720"/>
        <w:jc w:val="both"/>
        <w:rPr>
          <w:rFonts w:cs="Arial"/>
          <w:sz w:val="24"/>
          <w:szCs w:val="24"/>
          <w:lang w:val="en-US"/>
        </w:rPr>
      </w:pPr>
      <w:r w:rsidRPr="00F871E8">
        <w:rPr>
          <w:rFonts w:cs="Arial"/>
          <w:b/>
          <w:bCs/>
          <w:sz w:val="24"/>
          <w:szCs w:val="24"/>
          <w:lang w:val="en-US"/>
        </w:rPr>
        <w:t>5.30</w:t>
      </w:r>
      <w:r w:rsidRPr="00F871E8">
        <w:rPr>
          <w:rFonts w:cs="Arial"/>
          <w:b/>
          <w:bCs/>
          <w:sz w:val="24"/>
          <w:szCs w:val="24"/>
          <w:lang w:val="en-US"/>
        </w:rPr>
        <w:tab/>
      </w:r>
      <w:r w:rsidRPr="00F871E8">
        <w:rPr>
          <w:rFonts w:cs="Arial"/>
          <w:sz w:val="24"/>
          <w:szCs w:val="24"/>
          <w:lang w:val="en-US"/>
        </w:rPr>
        <w:t>Where the 1972 Act provides that a document is to be authenticated in a prescribed manner, it shall be authenticated by a certificate signed by the sheriff clerk declaring that the document is authentic.</w:t>
      </w:r>
    </w:p>
    <w:p w:rsidR="007865A1" w:rsidRPr="00F871E8" w:rsidRDefault="007865A1" w:rsidP="007865A1">
      <w:pPr>
        <w:spacing w:after="120"/>
        <w:jc w:val="both"/>
        <w:rPr>
          <w:rFonts w:cs="Arial"/>
          <w:sz w:val="24"/>
          <w:szCs w:val="24"/>
          <w:lang w:val="en-US"/>
        </w:rPr>
      </w:pPr>
    </w:p>
    <w:p w:rsidR="007865A1" w:rsidRPr="00F871E8" w:rsidRDefault="007865A1" w:rsidP="007865A1">
      <w:pPr>
        <w:spacing w:after="120"/>
        <w:jc w:val="both"/>
        <w:rPr>
          <w:rFonts w:cs="Arial"/>
          <w:b/>
          <w:bCs/>
          <w:sz w:val="24"/>
          <w:szCs w:val="24"/>
          <w:lang w:val="en-US"/>
        </w:rPr>
      </w:pPr>
      <w:bookmarkStart w:id="3" w:name="r0531"/>
      <w:r w:rsidRPr="00F871E8">
        <w:rPr>
          <w:rFonts w:cs="Arial"/>
          <w:b/>
          <w:bCs/>
          <w:sz w:val="24"/>
          <w:szCs w:val="24"/>
          <w:lang w:val="en-US"/>
        </w:rPr>
        <w:t>Application under sections 9 and 20 of the 1972 Act</w:t>
      </w:r>
    </w:p>
    <w:bookmarkEnd w:id="3"/>
    <w:p w:rsidR="007865A1" w:rsidRPr="00F871E8" w:rsidRDefault="007865A1" w:rsidP="00F871E8">
      <w:pPr>
        <w:spacing w:after="120"/>
        <w:ind w:left="720" w:hanging="720"/>
        <w:jc w:val="both"/>
        <w:rPr>
          <w:rFonts w:cs="Arial"/>
          <w:sz w:val="24"/>
          <w:szCs w:val="24"/>
          <w:lang w:val="en-US"/>
        </w:rPr>
      </w:pPr>
      <w:r w:rsidRPr="00F871E8">
        <w:rPr>
          <w:rFonts w:cs="Arial"/>
          <w:b/>
          <w:bCs/>
          <w:sz w:val="24"/>
          <w:szCs w:val="24"/>
          <w:lang w:val="en-US"/>
        </w:rPr>
        <w:t>5.31</w:t>
      </w:r>
      <w:r w:rsidRPr="00F871E8">
        <w:rPr>
          <w:rFonts w:cs="Arial"/>
          <w:b/>
          <w:bCs/>
          <w:sz w:val="24"/>
          <w:szCs w:val="24"/>
          <w:lang w:val="en-US"/>
        </w:rPr>
        <w:tab/>
      </w:r>
      <w:r w:rsidRPr="00F871E8">
        <w:rPr>
          <w:rFonts w:cs="Arial"/>
          <w:sz w:val="24"/>
          <w:szCs w:val="24"/>
          <w:lang w:val="en-US"/>
        </w:rPr>
        <w:t>(1)</w:t>
      </w:r>
      <w:r w:rsidRPr="00F871E8">
        <w:rPr>
          <w:rFonts w:cs="Arial"/>
          <w:sz w:val="24"/>
          <w:szCs w:val="24"/>
          <w:lang w:val="en-US"/>
        </w:rPr>
        <w:tab/>
        <w:t>An application under section 9 of the 1972 Act (variation and revocation of maintenance orders) for variation or revocation of a maintenance order shall be brought as an ordinary cause.</w:t>
      </w:r>
    </w:p>
    <w:p w:rsidR="007865A1" w:rsidRPr="00F871E8" w:rsidRDefault="007865A1" w:rsidP="00F871E8">
      <w:pPr>
        <w:spacing w:after="120"/>
        <w:ind w:left="720"/>
        <w:jc w:val="both"/>
        <w:rPr>
          <w:rFonts w:cs="Arial"/>
          <w:sz w:val="24"/>
          <w:szCs w:val="24"/>
          <w:lang w:val="en-US"/>
        </w:rPr>
      </w:pPr>
      <w:r w:rsidRPr="00F871E8">
        <w:rPr>
          <w:rFonts w:cs="Arial"/>
          <w:sz w:val="24"/>
          <w:szCs w:val="24"/>
          <w:lang w:val="en-US"/>
        </w:rPr>
        <w:t>(2)</w:t>
      </w:r>
      <w:r w:rsidRPr="00F871E8">
        <w:rPr>
          <w:rFonts w:cs="Arial"/>
          <w:sz w:val="24"/>
          <w:szCs w:val="24"/>
          <w:lang w:val="en-US"/>
        </w:rPr>
        <w:tab/>
        <w:t>An application under section 20 of the 1972 Act (restriction on enforcement of arrears) for leave to enforce the payment of any arrears due under a maintenance order registered in Scotland shall be made by lodging a minute in the process.</w:t>
      </w:r>
    </w:p>
    <w:p w:rsidR="007865A1" w:rsidRPr="00F871E8" w:rsidRDefault="007865A1" w:rsidP="007865A1">
      <w:pPr>
        <w:spacing w:after="120"/>
        <w:jc w:val="both"/>
        <w:rPr>
          <w:rFonts w:cs="Arial"/>
          <w:b/>
          <w:bCs/>
          <w:sz w:val="24"/>
          <w:szCs w:val="24"/>
          <w:lang w:val="en-US"/>
        </w:rPr>
      </w:pPr>
    </w:p>
    <w:p w:rsidR="007865A1" w:rsidRPr="00F871E8" w:rsidRDefault="007865A1" w:rsidP="007865A1">
      <w:pPr>
        <w:spacing w:after="120"/>
        <w:jc w:val="both"/>
        <w:rPr>
          <w:rFonts w:cs="Arial"/>
          <w:b/>
          <w:bCs/>
          <w:sz w:val="24"/>
          <w:szCs w:val="24"/>
          <w:lang w:val="en-US"/>
        </w:rPr>
      </w:pPr>
      <w:bookmarkStart w:id="4" w:name="r0532"/>
      <w:r w:rsidRPr="00F871E8">
        <w:rPr>
          <w:rFonts w:cs="Arial"/>
          <w:b/>
          <w:bCs/>
          <w:sz w:val="24"/>
          <w:szCs w:val="24"/>
          <w:lang w:val="en-US"/>
        </w:rPr>
        <w:t>Information to be provided where payer has ceased to reside in Scotland</w:t>
      </w:r>
    </w:p>
    <w:bookmarkEnd w:id="4"/>
    <w:p w:rsidR="007865A1" w:rsidRPr="00F871E8" w:rsidRDefault="007865A1" w:rsidP="007865A1">
      <w:pPr>
        <w:spacing w:after="120"/>
        <w:jc w:val="both"/>
        <w:rPr>
          <w:rFonts w:cs="Arial"/>
          <w:sz w:val="24"/>
          <w:szCs w:val="24"/>
          <w:lang w:val="en-US"/>
        </w:rPr>
      </w:pPr>
      <w:r w:rsidRPr="00F871E8">
        <w:rPr>
          <w:rFonts w:cs="Arial"/>
          <w:b/>
          <w:bCs/>
          <w:sz w:val="24"/>
          <w:szCs w:val="24"/>
          <w:lang w:val="en-US"/>
        </w:rPr>
        <w:t>5.32</w:t>
      </w:r>
      <w:r w:rsidRPr="00F871E8">
        <w:rPr>
          <w:rFonts w:cs="Arial"/>
          <w:b/>
          <w:bCs/>
          <w:sz w:val="24"/>
          <w:szCs w:val="24"/>
          <w:lang w:val="en-US"/>
        </w:rPr>
        <w:tab/>
      </w:r>
      <w:r w:rsidRPr="00F871E8">
        <w:rPr>
          <w:rFonts w:cs="Arial"/>
          <w:sz w:val="24"/>
          <w:szCs w:val="24"/>
          <w:lang w:val="en-US"/>
        </w:rPr>
        <w:t>(1)</w:t>
      </w:r>
      <w:r w:rsidRPr="00F871E8">
        <w:rPr>
          <w:rFonts w:cs="Arial"/>
          <w:sz w:val="24"/>
          <w:szCs w:val="24"/>
          <w:lang w:val="en-US"/>
        </w:rPr>
        <w:tab/>
        <w:t>Where the registration of an order is cancelled in the circumstances set out in section 10(2) of the 1972 Act, the payee or his solicitor shall provide the sheriff clerk so far as is possible with information to enable the sheriff clerk to prepare the certificate and statement referred to in section 10(7) of the 1972 Act.</w:t>
      </w:r>
    </w:p>
    <w:p w:rsidR="007865A1" w:rsidRPr="00F871E8" w:rsidRDefault="007865A1" w:rsidP="00F871E8">
      <w:pPr>
        <w:spacing w:after="120"/>
        <w:ind w:left="720"/>
        <w:jc w:val="both"/>
        <w:rPr>
          <w:rFonts w:cs="Arial"/>
          <w:sz w:val="24"/>
          <w:szCs w:val="24"/>
          <w:lang w:val="en-US"/>
        </w:rPr>
      </w:pPr>
      <w:r w:rsidRPr="00F871E8">
        <w:rPr>
          <w:rFonts w:cs="Arial"/>
          <w:sz w:val="24"/>
          <w:szCs w:val="24"/>
          <w:lang w:val="en-US"/>
        </w:rPr>
        <w:t>(2)</w:t>
      </w:r>
      <w:r w:rsidRPr="00F871E8">
        <w:rPr>
          <w:rFonts w:cs="Arial"/>
          <w:sz w:val="24"/>
          <w:szCs w:val="24"/>
          <w:lang w:val="en-US"/>
        </w:rPr>
        <w:tab/>
        <w:t>Where the sheriff clerk is required in terms of section 32(1) of the 1972 Act (transfer of orders) to send to the Secretary of State the related documents specified in section 32(8) of that Act, the payee or his solicitor shall provide the sheriff clerk so far as possible with information to enable the sheriff clerk to prepare the certificate and statement to be included among those documents.</w:t>
      </w:r>
    </w:p>
    <w:p w:rsidR="007865A1" w:rsidRPr="00F871E8" w:rsidRDefault="007865A1" w:rsidP="007865A1">
      <w:pPr>
        <w:spacing w:after="120"/>
        <w:jc w:val="both"/>
        <w:rPr>
          <w:rFonts w:cs="Arial"/>
          <w:sz w:val="24"/>
          <w:szCs w:val="24"/>
          <w:lang w:val="en-US"/>
        </w:rPr>
      </w:pPr>
    </w:p>
    <w:p w:rsidR="007865A1" w:rsidRPr="00F871E8" w:rsidRDefault="007865A1" w:rsidP="007865A1">
      <w:pPr>
        <w:spacing w:after="120"/>
        <w:jc w:val="both"/>
        <w:rPr>
          <w:rFonts w:cs="Arial"/>
          <w:b/>
          <w:bCs/>
          <w:sz w:val="24"/>
          <w:szCs w:val="24"/>
          <w:lang w:val="en-US"/>
        </w:rPr>
      </w:pPr>
      <w:bookmarkStart w:id="5" w:name="r0533"/>
      <w:r w:rsidRPr="00F871E8">
        <w:rPr>
          <w:rFonts w:cs="Arial"/>
          <w:b/>
          <w:bCs/>
          <w:sz w:val="24"/>
          <w:szCs w:val="24"/>
          <w:lang w:val="en-US"/>
        </w:rPr>
        <w:t>Evidence</w:t>
      </w:r>
    </w:p>
    <w:bookmarkEnd w:id="5"/>
    <w:p w:rsidR="007865A1" w:rsidRPr="00F871E8" w:rsidRDefault="007865A1" w:rsidP="00F871E8">
      <w:pPr>
        <w:spacing w:after="120"/>
        <w:ind w:left="720" w:hanging="720"/>
        <w:jc w:val="both"/>
        <w:rPr>
          <w:rFonts w:cs="Arial"/>
          <w:sz w:val="24"/>
          <w:szCs w:val="24"/>
          <w:lang w:val="en-US"/>
        </w:rPr>
      </w:pPr>
      <w:r w:rsidRPr="00F871E8">
        <w:rPr>
          <w:rFonts w:cs="Arial"/>
          <w:b/>
          <w:bCs/>
          <w:sz w:val="24"/>
          <w:szCs w:val="24"/>
          <w:lang w:val="en-US"/>
        </w:rPr>
        <w:t>5.33</w:t>
      </w:r>
      <w:r w:rsidRPr="00F871E8">
        <w:rPr>
          <w:rFonts w:cs="Arial"/>
          <w:bCs/>
          <w:sz w:val="24"/>
          <w:szCs w:val="24"/>
          <w:lang w:val="en-US"/>
        </w:rPr>
        <w:tab/>
      </w:r>
      <w:r w:rsidRPr="00F871E8">
        <w:rPr>
          <w:rFonts w:cs="Arial"/>
          <w:sz w:val="24"/>
          <w:szCs w:val="24"/>
          <w:lang w:val="en-US"/>
        </w:rPr>
        <w:t>Where a provisional order is made under section 9 of the 1972 Act and evidence has been taken by a shorthand writer, the applicant or his solicitor shall provide the sheriff clerk with a copy of the extended notes of evidence.</w:t>
      </w:r>
    </w:p>
    <w:p w:rsidR="007865A1" w:rsidRPr="00F871E8" w:rsidRDefault="007865A1" w:rsidP="007865A1">
      <w:pPr>
        <w:spacing w:after="120"/>
        <w:jc w:val="both"/>
        <w:rPr>
          <w:rFonts w:cs="Arial"/>
          <w:sz w:val="24"/>
          <w:szCs w:val="24"/>
          <w:lang w:val="en-US"/>
        </w:rPr>
      </w:pPr>
    </w:p>
    <w:p w:rsidR="007865A1" w:rsidRPr="00F871E8" w:rsidRDefault="007865A1" w:rsidP="007865A1">
      <w:pPr>
        <w:spacing w:after="120"/>
        <w:jc w:val="both"/>
        <w:rPr>
          <w:rFonts w:cs="Arial"/>
          <w:b/>
          <w:bCs/>
          <w:sz w:val="24"/>
          <w:szCs w:val="24"/>
          <w:lang w:val="en-US"/>
        </w:rPr>
      </w:pPr>
      <w:bookmarkStart w:id="6" w:name="r0536"/>
      <w:r w:rsidRPr="00F871E8">
        <w:rPr>
          <w:rFonts w:cs="Arial"/>
          <w:b/>
          <w:bCs/>
          <w:sz w:val="24"/>
          <w:szCs w:val="24"/>
          <w:lang w:val="en-US"/>
        </w:rPr>
        <w:t>Intimation of registration of, or refusal to register, an order made in a Hague Convention Country</w:t>
      </w:r>
    </w:p>
    <w:bookmarkEnd w:id="6"/>
    <w:p w:rsidR="007865A1" w:rsidRPr="00F871E8" w:rsidRDefault="007865A1" w:rsidP="00F871E8">
      <w:pPr>
        <w:spacing w:after="120"/>
        <w:ind w:left="720" w:hanging="720"/>
        <w:jc w:val="both"/>
        <w:rPr>
          <w:rFonts w:cs="Arial"/>
          <w:sz w:val="24"/>
          <w:szCs w:val="24"/>
          <w:lang w:val="en-US"/>
        </w:rPr>
      </w:pPr>
      <w:r w:rsidRPr="00F871E8">
        <w:rPr>
          <w:rFonts w:cs="Arial"/>
          <w:b/>
          <w:bCs/>
          <w:sz w:val="24"/>
          <w:szCs w:val="24"/>
          <w:lang w:val="en-US"/>
        </w:rPr>
        <w:t>5.36</w:t>
      </w:r>
      <w:r w:rsidRPr="00F871E8">
        <w:rPr>
          <w:rFonts w:cs="Arial"/>
          <w:bCs/>
          <w:sz w:val="24"/>
          <w:szCs w:val="24"/>
          <w:lang w:val="en-US"/>
        </w:rPr>
        <w:tab/>
      </w:r>
      <w:r w:rsidRPr="00F871E8">
        <w:rPr>
          <w:rFonts w:cs="Arial"/>
          <w:sz w:val="24"/>
          <w:szCs w:val="24"/>
          <w:lang w:val="en-US"/>
        </w:rPr>
        <w:t>(1)</w:t>
      </w:r>
      <w:r w:rsidRPr="00F871E8">
        <w:rPr>
          <w:rFonts w:cs="Arial"/>
          <w:sz w:val="24"/>
          <w:szCs w:val="24"/>
          <w:lang w:val="en-US"/>
        </w:rPr>
        <w:tab/>
        <w:t>Intimation of the registration of a maintenance order in terms of section 6 of the 1972 Act as applied to an order made in a Hague Convention Country shall be given by the sheriff clerk-</w:t>
      </w:r>
    </w:p>
    <w:p w:rsidR="007865A1" w:rsidRPr="00F871E8" w:rsidRDefault="007865A1" w:rsidP="007865A1">
      <w:pPr>
        <w:spacing w:after="120"/>
        <w:ind w:left="720" w:firstLine="720"/>
        <w:jc w:val="both"/>
        <w:rPr>
          <w:rFonts w:cs="Arial"/>
          <w:sz w:val="24"/>
          <w:szCs w:val="24"/>
          <w:lang w:val="en-US"/>
        </w:rPr>
      </w:pPr>
      <w:r w:rsidRPr="00F871E8">
        <w:rPr>
          <w:rFonts w:cs="Arial"/>
          <w:sz w:val="24"/>
          <w:szCs w:val="24"/>
          <w:lang w:val="en-US"/>
        </w:rPr>
        <w:t>(a)</w:t>
      </w:r>
      <w:r w:rsidRPr="00F871E8">
        <w:rPr>
          <w:rFonts w:cs="Arial"/>
          <w:sz w:val="24"/>
          <w:szCs w:val="24"/>
          <w:lang w:val="en-US"/>
        </w:rPr>
        <w:tab/>
        <w:t>to the payer, by sending an intimation in Form 72; and</w:t>
      </w:r>
    </w:p>
    <w:p w:rsidR="007865A1" w:rsidRPr="00F871E8" w:rsidRDefault="007865A1" w:rsidP="007865A1">
      <w:pPr>
        <w:spacing w:after="120"/>
        <w:ind w:left="720" w:firstLine="720"/>
        <w:jc w:val="both"/>
        <w:rPr>
          <w:rFonts w:cs="Arial"/>
          <w:sz w:val="24"/>
          <w:szCs w:val="24"/>
          <w:lang w:val="en-US"/>
        </w:rPr>
      </w:pPr>
      <w:r w:rsidRPr="00F871E8">
        <w:rPr>
          <w:rFonts w:cs="Arial"/>
          <w:sz w:val="24"/>
          <w:szCs w:val="24"/>
          <w:lang w:val="en-US"/>
        </w:rPr>
        <w:t>(b)</w:t>
      </w:r>
      <w:r w:rsidRPr="00F871E8">
        <w:rPr>
          <w:rFonts w:cs="Arial"/>
          <w:sz w:val="24"/>
          <w:szCs w:val="24"/>
          <w:lang w:val="en-US"/>
        </w:rPr>
        <w:tab/>
        <w:t>to the payee, by sending a notice in Form 70.</w:t>
      </w:r>
    </w:p>
    <w:p w:rsidR="007865A1" w:rsidRPr="00F871E8" w:rsidRDefault="007865A1" w:rsidP="00F871E8">
      <w:pPr>
        <w:spacing w:after="120"/>
        <w:ind w:left="720"/>
        <w:jc w:val="both"/>
        <w:rPr>
          <w:rFonts w:cs="Arial"/>
          <w:sz w:val="24"/>
          <w:szCs w:val="24"/>
          <w:lang w:val="en-US"/>
        </w:rPr>
      </w:pPr>
      <w:r w:rsidRPr="00F871E8">
        <w:rPr>
          <w:rFonts w:cs="Arial"/>
          <w:sz w:val="24"/>
          <w:szCs w:val="24"/>
          <w:lang w:val="en-US"/>
        </w:rPr>
        <w:t>(2)</w:t>
      </w:r>
      <w:r w:rsidRPr="00F871E8">
        <w:rPr>
          <w:rFonts w:cs="Arial"/>
          <w:sz w:val="24"/>
          <w:szCs w:val="24"/>
          <w:lang w:val="en-US"/>
        </w:rPr>
        <w:tab/>
        <w:t>Notice of a refusal to register a maintenance order on any of the grounds set out in section 6(5), (6) or (7) of the 1972 Act as applied to an order made in a Hague Convention Country shall be given by the sheriff clerk to the payee, by sending a notice in Form 71.</w:t>
      </w:r>
    </w:p>
    <w:p w:rsidR="007865A1" w:rsidRPr="00F871E8" w:rsidRDefault="007865A1" w:rsidP="007865A1">
      <w:pPr>
        <w:spacing w:after="120"/>
        <w:jc w:val="both"/>
        <w:rPr>
          <w:rFonts w:cs="Arial"/>
          <w:sz w:val="24"/>
          <w:szCs w:val="24"/>
          <w:lang w:val="en-US"/>
        </w:rPr>
      </w:pPr>
    </w:p>
    <w:p w:rsidR="007865A1" w:rsidRPr="00F871E8" w:rsidRDefault="007865A1" w:rsidP="007865A1">
      <w:pPr>
        <w:spacing w:after="120"/>
        <w:jc w:val="both"/>
        <w:rPr>
          <w:rFonts w:cs="Arial"/>
          <w:b/>
          <w:bCs/>
          <w:sz w:val="24"/>
          <w:szCs w:val="24"/>
          <w:lang w:val="en-US"/>
        </w:rPr>
      </w:pPr>
      <w:bookmarkStart w:id="7" w:name="r0537"/>
      <w:r w:rsidRPr="00F871E8">
        <w:rPr>
          <w:rFonts w:cs="Arial"/>
          <w:b/>
          <w:bCs/>
          <w:sz w:val="24"/>
          <w:szCs w:val="24"/>
          <w:lang w:val="en-US"/>
        </w:rPr>
        <w:t>Application to set aside registration of, or to set aside decision not to register, an order made in a Hague Convention Country</w:t>
      </w:r>
      <w:bookmarkEnd w:id="7"/>
    </w:p>
    <w:p w:rsidR="007865A1" w:rsidRPr="00F871E8" w:rsidRDefault="007865A1" w:rsidP="00F871E8">
      <w:pPr>
        <w:spacing w:after="120"/>
        <w:ind w:left="720" w:hanging="720"/>
        <w:jc w:val="both"/>
        <w:rPr>
          <w:rFonts w:cs="Arial"/>
          <w:sz w:val="24"/>
          <w:szCs w:val="24"/>
          <w:lang w:val="en-US"/>
        </w:rPr>
      </w:pPr>
      <w:r w:rsidRPr="00F871E8">
        <w:rPr>
          <w:rFonts w:cs="Arial"/>
          <w:b/>
          <w:bCs/>
          <w:sz w:val="24"/>
          <w:szCs w:val="24"/>
          <w:lang w:val="en-US"/>
        </w:rPr>
        <w:t>5.37</w:t>
      </w:r>
      <w:r w:rsidRPr="00F871E8">
        <w:rPr>
          <w:rFonts w:cs="Arial"/>
          <w:bCs/>
          <w:sz w:val="24"/>
          <w:szCs w:val="24"/>
          <w:lang w:val="en-US"/>
        </w:rPr>
        <w:tab/>
      </w:r>
      <w:r w:rsidRPr="00F871E8">
        <w:rPr>
          <w:rFonts w:cs="Arial"/>
          <w:sz w:val="24"/>
          <w:szCs w:val="24"/>
          <w:lang w:val="en-US"/>
        </w:rPr>
        <w:t>Application to the court under section 6(9) or (12) of the 1972 Act as applied to an order made in a Hague Convention Country shall be made by summary application setting out the grounds of the application.</w:t>
      </w:r>
    </w:p>
    <w:p w:rsidR="007865A1" w:rsidRPr="00F871E8" w:rsidRDefault="007865A1" w:rsidP="007865A1">
      <w:pPr>
        <w:spacing w:after="120"/>
        <w:jc w:val="both"/>
        <w:rPr>
          <w:rFonts w:cs="Arial"/>
          <w:sz w:val="24"/>
          <w:szCs w:val="24"/>
          <w:lang w:val="en-US"/>
        </w:rPr>
      </w:pPr>
    </w:p>
    <w:p w:rsidR="007865A1" w:rsidRPr="00F871E8" w:rsidRDefault="007865A1" w:rsidP="007865A1">
      <w:pPr>
        <w:spacing w:after="120"/>
        <w:rPr>
          <w:rFonts w:cs="Arial"/>
          <w:b/>
          <w:sz w:val="24"/>
          <w:szCs w:val="24"/>
        </w:rPr>
      </w:pPr>
      <w:bookmarkStart w:id="8" w:name="r0537A"/>
      <w:bookmarkEnd w:id="8"/>
      <w:r w:rsidRPr="00F871E8">
        <w:rPr>
          <w:rFonts w:cs="Arial"/>
          <w:b/>
          <w:sz w:val="24"/>
          <w:szCs w:val="24"/>
        </w:rPr>
        <w:t xml:space="preserve">Taking of evidence at the request of a court in the </w:t>
      </w:r>
      <w:smartTag w:uri="urn:schemas-microsoft-com:office:smarttags" w:element="country-region">
        <w:smartTag w:uri="urn:schemas-microsoft-com:office:smarttags" w:element="place">
          <w:r w:rsidRPr="00F871E8">
            <w:rPr>
              <w:rFonts w:cs="Arial"/>
              <w:b/>
              <w:sz w:val="24"/>
              <w:szCs w:val="24"/>
            </w:rPr>
            <w:t>USA</w:t>
          </w:r>
        </w:smartTag>
      </w:smartTag>
    </w:p>
    <w:p w:rsidR="007865A1" w:rsidRPr="00F871E8" w:rsidRDefault="007865A1" w:rsidP="00F871E8">
      <w:pPr>
        <w:ind w:left="720" w:hanging="720"/>
        <w:rPr>
          <w:rFonts w:cs="Arial"/>
          <w:sz w:val="24"/>
          <w:szCs w:val="24"/>
        </w:rPr>
      </w:pPr>
      <w:r w:rsidRPr="00F871E8">
        <w:rPr>
          <w:rFonts w:cs="Arial"/>
          <w:b/>
          <w:sz w:val="24"/>
          <w:szCs w:val="24"/>
        </w:rPr>
        <w:t>5.37A.</w:t>
      </w:r>
      <w:r w:rsidRPr="00F871E8">
        <w:rPr>
          <w:rFonts w:cs="Arial"/>
          <w:sz w:val="24"/>
          <w:szCs w:val="24"/>
        </w:rPr>
        <w:t> Where evidence is taken under section 38(2) of the 1972 Act in consequence of a request made by a court in the United States of America under section 38(1) of that Act, rules 29.7 (citation of witnesses), 29.9 (second diligence against a witness) and 29.10 (failure of witness to attend) of the Ordinary Cause Rules shall apply in respect of the matters set out in those rules.</w:t>
      </w:r>
    </w:p>
    <w:p w:rsidR="007865A1" w:rsidRPr="00F871E8" w:rsidRDefault="007865A1" w:rsidP="007865A1">
      <w:pPr>
        <w:rPr>
          <w:rFonts w:cs="Arial"/>
          <w:sz w:val="24"/>
          <w:szCs w:val="24"/>
        </w:rPr>
      </w:pPr>
    </w:p>
    <w:p w:rsidR="007865A1" w:rsidRPr="00F871E8" w:rsidRDefault="007865A1" w:rsidP="007865A1">
      <w:pPr>
        <w:rPr>
          <w:rFonts w:cs="Arial"/>
          <w:sz w:val="24"/>
          <w:szCs w:val="24"/>
        </w:rPr>
      </w:pPr>
    </w:p>
    <w:p w:rsidR="007865A1" w:rsidRPr="00F871E8" w:rsidRDefault="007865A1" w:rsidP="007865A1">
      <w:pPr>
        <w:spacing w:after="120"/>
        <w:rPr>
          <w:rFonts w:cs="Arial"/>
          <w:b/>
          <w:sz w:val="24"/>
          <w:szCs w:val="24"/>
        </w:rPr>
      </w:pPr>
      <w:bookmarkStart w:id="9" w:name="r0537B"/>
      <w:bookmarkEnd w:id="9"/>
      <w:r w:rsidRPr="00F871E8">
        <w:rPr>
          <w:rFonts w:cs="Arial"/>
          <w:b/>
          <w:sz w:val="24"/>
          <w:szCs w:val="24"/>
        </w:rPr>
        <w:t xml:space="preserve">Communication with courts in the </w:t>
      </w:r>
      <w:smartTag w:uri="urn:schemas-microsoft-com:office:smarttags" w:element="country-region">
        <w:smartTag w:uri="urn:schemas-microsoft-com:office:smarttags" w:element="place">
          <w:r w:rsidRPr="00F871E8">
            <w:rPr>
              <w:rFonts w:cs="Arial"/>
              <w:b/>
              <w:sz w:val="24"/>
              <w:szCs w:val="24"/>
            </w:rPr>
            <w:t>USA</w:t>
          </w:r>
        </w:smartTag>
      </w:smartTag>
    </w:p>
    <w:p w:rsidR="007865A1" w:rsidRPr="00F871E8" w:rsidRDefault="007865A1" w:rsidP="00F871E8">
      <w:pPr>
        <w:ind w:left="720" w:hanging="720"/>
        <w:rPr>
          <w:rFonts w:cs="Arial"/>
          <w:sz w:val="24"/>
          <w:szCs w:val="24"/>
        </w:rPr>
      </w:pPr>
      <w:r w:rsidRPr="00F871E8">
        <w:rPr>
          <w:rFonts w:cs="Arial"/>
          <w:b/>
          <w:sz w:val="24"/>
          <w:szCs w:val="24"/>
        </w:rPr>
        <w:t>5.37B</w:t>
      </w:r>
      <w:r w:rsidRPr="00F871E8">
        <w:rPr>
          <w:rFonts w:cs="Arial"/>
          <w:sz w:val="24"/>
          <w:szCs w:val="24"/>
        </w:rPr>
        <w:t>.</w:t>
      </w:r>
      <w:r w:rsidR="00F871E8">
        <w:rPr>
          <w:rFonts w:cs="Arial"/>
          <w:sz w:val="24"/>
          <w:szCs w:val="24"/>
        </w:rPr>
        <w:tab/>
      </w:r>
      <w:r w:rsidRPr="00F871E8">
        <w:rPr>
          <w:rFonts w:cs="Arial"/>
          <w:sz w:val="24"/>
          <w:szCs w:val="24"/>
        </w:rPr>
        <w:t> In so far as applicable to incoming orders under the 1972 Act from the United States of America, for the purposes of the provisions in Part I of the 1972 Act, the sheriff may communicate with a court or courts in the United States of America in such circumstances and in such manner as he thinks fit.</w:t>
      </w:r>
    </w:p>
    <w:p w:rsidR="007865A1" w:rsidRPr="00F871E8" w:rsidRDefault="007865A1" w:rsidP="007865A1">
      <w:pPr>
        <w:rPr>
          <w:rFonts w:cs="Arial"/>
          <w:sz w:val="24"/>
          <w:szCs w:val="24"/>
        </w:rPr>
      </w:pPr>
    </w:p>
    <w:p w:rsidR="007865A1" w:rsidRPr="00F871E8" w:rsidRDefault="007865A1" w:rsidP="007865A1">
      <w:pPr>
        <w:rPr>
          <w:rFonts w:cs="Arial"/>
          <w:sz w:val="24"/>
          <w:szCs w:val="24"/>
        </w:rPr>
      </w:pPr>
    </w:p>
    <w:p w:rsidR="007865A1" w:rsidRPr="00F871E8" w:rsidRDefault="007865A1" w:rsidP="007865A1">
      <w:pPr>
        <w:spacing w:after="120"/>
        <w:rPr>
          <w:rFonts w:cs="Arial"/>
          <w:b/>
          <w:sz w:val="24"/>
          <w:szCs w:val="24"/>
        </w:rPr>
      </w:pPr>
      <w:r w:rsidRPr="00F871E8">
        <w:rPr>
          <w:rFonts w:cs="Arial"/>
          <w:b/>
          <w:sz w:val="24"/>
          <w:szCs w:val="24"/>
        </w:rPr>
        <w:t xml:space="preserve">Disapplication of provisions in respect of orders made by courts in the </w:t>
      </w:r>
      <w:smartTag w:uri="urn:schemas-microsoft-com:office:smarttags" w:element="country-region">
        <w:smartTag w:uri="urn:schemas-microsoft-com:office:smarttags" w:element="place">
          <w:r w:rsidRPr="00F871E8">
            <w:rPr>
              <w:rFonts w:cs="Arial"/>
              <w:b/>
              <w:sz w:val="24"/>
              <w:szCs w:val="24"/>
            </w:rPr>
            <w:t>USA</w:t>
          </w:r>
        </w:smartTag>
      </w:smartTag>
    </w:p>
    <w:p w:rsidR="007865A1" w:rsidRPr="00F871E8" w:rsidRDefault="007865A1" w:rsidP="00F871E8">
      <w:pPr>
        <w:spacing w:after="120"/>
        <w:ind w:left="720" w:hanging="720"/>
        <w:rPr>
          <w:rFonts w:cs="Arial"/>
          <w:sz w:val="24"/>
          <w:szCs w:val="24"/>
        </w:rPr>
      </w:pPr>
      <w:r w:rsidRPr="00F871E8">
        <w:rPr>
          <w:rFonts w:cs="Arial"/>
          <w:b/>
          <w:sz w:val="24"/>
          <w:szCs w:val="24"/>
        </w:rPr>
        <w:t>5.37C</w:t>
      </w:r>
      <w:r w:rsidRPr="00F871E8">
        <w:rPr>
          <w:rFonts w:cs="Arial"/>
          <w:sz w:val="24"/>
          <w:szCs w:val="24"/>
        </w:rPr>
        <w:t>. In any case in which a maintenance order is made by a court in the United States of America which falls to be dealt with under sections 6 to 11 of the 1972 Act as those provisions are applied to the United States of America, none of the provisions in this Part shall apply except this rule and rules 5.30, 5.32, 5.37A and 5.37B.</w:t>
      </w:r>
    </w:p>
    <w:p w:rsidR="007865A1" w:rsidRPr="00F871E8" w:rsidRDefault="007865A1">
      <w:pPr>
        <w:rPr>
          <w:rFonts w:cs="Arial"/>
        </w:rPr>
      </w:pPr>
    </w:p>
    <w:sectPr w:rsidR="007865A1" w:rsidRPr="00F871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CDA"/>
    <w:rsid w:val="00050CDA"/>
    <w:rsid w:val="002532DF"/>
    <w:rsid w:val="007865A1"/>
    <w:rsid w:val="008A3800"/>
    <w:rsid w:val="00966246"/>
    <w:rsid w:val="0098145C"/>
    <w:rsid w:val="00C42D6B"/>
    <w:rsid w:val="00EA4217"/>
    <w:rsid w:val="00F87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5A1"/>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65A1"/>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865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5A1"/>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65A1"/>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865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557419">
      <w:bodyDiv w:val="1"/>
      <w:marLeft w:val="0"/>
      <w:marRight w:val="0"/>
      <w:marTop w:val="0"/>
      <w:marBottom w:val="0"/>
      <w:divBdr>
        <w:top w:val="none" w:sz="0" w:space="0" w:color="auto"/>
        <w:left w:val="none" w:sz="0" w:space="0" w:color="auto"/>
        <w:bottom w:val="none" w:sz="0" w:space="0" w:color="auto"/>
        <w:right w:val="none" w:sz="0" w:space="0" w:color="auto"/>
      </w:divBdr>
    </w:div>
    <w:div w:id="200181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983</Words>
  <Characters>5605</Characters>
  <Application>Microsoft Office Word</Application>
  <DocSecurity>0</DocSecurity>
  <Lines>46</Lines>
  <Paragraphs>13</Paragraphs>
  <ScaleCrop>false</ScaleCrop>
  <Company>Hewlett-Packard</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imarshall</cp:lastModifiedBy>
  <cp:revision>7</cp:revision>
  <dcterms:created xsi:type="dcterms:W3CDTF">2012-08-29T11:58:00Z</dcterms:created>
  <dcterms:modified xsi:type="dcterms:W3CDTF">2014-07-08T08:21:00Z</dcterms:modified>
</cp:coreProperties>
</file>