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3546D5" w:rsidRPr="00D634EF" w:rsidTr="00D634EF">
        <w:tc>
          <w:tcPr>
            <w:tcW w:w="9242" w:type="dxa"/>
            <w:gridSpan w:val="2"/>
          </w:tcPr>
          <w:p w:rsidR="003546D5" w:rsidRDefault="003546D5" w:rsidP="003546D5">
            <w:pPr>
              <w:spacing w:before="120" w:after="120" w:line="240" w:lineRule="auto"/>
              <w:jc w:val="center"/>
              <w:rPr>
                <w:rFonts w:ascii="Calibri" w:eastAsia="Calibri" w:hAnsi="Calibri" w:cs="Calibri"/>
                <w:b/>
                <w:bCs/>
                <w:sz w:val="28"/>
                <w:szCs w:val="28"/>
                <w:lang w:val="en-US"/>
              </w:rPr>
            </w:pPr>
            <w:r>
              <w:rPr>
                <w:rFonts w:ascii="Calibri" w:eastAsia="Calibri" w:hAnsi="Calibri" w:cs="Calibri"/>
                <w:b/>
                <w:bCs/>
                <w:sz w:val="28"/>
                <w:szCs w:val="28"/>
                <w:lang w:val="en-US"/>
              </w:rPr>
              <w:t xml:space="preserve">Act of </w:t>
            </w:r>
            <w:proofErr w:type="spellStart"/>
            <w:r>
              <w:rPr>
                <w:rFonts w:ascii="Calibri" w:eastAsia="Calibri" w:hAnsi="Calibri" w:cs="Calibri"/>
                <w:b/>
                <w:bCs/>
                <w:sz w:val="28"/>
                <w:szCs w:val="28"/>
                <w:lang w:val="en-US"/>
              </w:rPr>
              <w:t>Sederunt</w:t>
            </w:r>
            <w:proofErr w:type="spellEnd"/>
            <w:r>
              <w:rPr>
                <w:rFonts w:ascii="Calibri" w:eastAsia="Calibri" w:hAnsi="Calibri" w:cs="Calibri"/>
                <w:b/>
                <w:bCs/>
                <w:sz w:val="28"/>
                <w:szCs w:val="28"/>
                <w:lang w:val="en-US"/>
              </w:rPr>
              <w:t xml:space="preserve"> (Child Care and Maintenance Rules) 1997</w:t>
            </w:r>
          </w:p>
          <w:p w:rsidR="003546D5" w:rsidRDefault="003546D5" w:rsidP="003546D5">
            <w:pPr>
              <w:spacing w:before="120" w:after="120" w:line="240" w:lineRule="auto"/>
              <w:jc w:val="center"/>
              <w:rPr>
                <w:rFonts w:ascii="Calibri" w:eastAsia="Calibri" w:hAnsi="Calibri" w:cs="Calibri"/>
                <w:b/>
                <w:bCs/>
                <w:sz w:val="28"/>
                <w:szCs w:val="28"/>
                <w:lang w:val="en-US"/>
              </w:rPr>
            </w:pPr>
            <w:r>
              <w:rPr>
                <w:rFonts w:ascii="Calibri" w:eastAsia="Calibri" w:hAnsi="Calibri" w:cs="Calibri"/>
                <w:b/>
                <w:bCs/>
                <w:sz w:val="28"/>
                <w:szCs w:val="28"/>
                <w:lang w:val="en-US"/>
              </w:rPr>
              <w:t>Statutory Instrument 1997 No. 291 (S.19)</w:t>
            </w:r>
          </w:p>
          <w:p w:rsidR="003546D5" w:rsidRPr="00D634EF" w:rsidRDefault="003546D5" w:rsidP="00D634EF">
            <w:pPr>
              <w:spacing w:before="120" w:after="120" w:line="240" w:lineRule="auto"/>
              <w:rPr>
                <w:rFonts w:ascii="Arial" w:eastAsia="Times New Roman" w:hAnsi="Arial" w:cs="Arial"/>
                <w:b/>
                <w:sz w:val="24"/>
                <w:szCs w:val="24"/>
                <w:lang w:val="en-US"/>
              </w:rPr>
            </w:pPr>
          </w:p>
        </w:tc>
      </w:tr>
      <w:tr w:rsidR="00D634EF" w:rsidRPr="00D634EF" w:rsidTr="00D634EF">
        <w:tc>
          <w:tcPr>
            <w:tcW w:w="9242" w:type="dxa"/>
            <w:gridSpan w:val="2"/>
            <w:hideMark/>
          </w:tcPr>
          <w:p w:rsidR="00D634EF" w:rsidRDefault="00D634EF" w:rsidP="00D634EF">
            <w:pPr>
              <w:spacing w:before="120" w:after="120" w:line="240" w:lineRule="auto"/>
              <w:rPr>
                <w:rFonts w:ascii="Arial" w:eastAsia="Times New Roman" w:hAnsi="Arial" w:cs="Arial"/>
                <w:b/>
                <w:sz w:val="24"/>
                <w:szCs w:val="24"/>
                <w:lang w:val="en-US"/>
              </w:rPr>
            </w:pPr>
            <w:r w:rsidRPr="00D634EF">
              <w:rPr>
                <w:rFonts w:ascii="Arial" w:eastAsia="Times New Roman" w:hAnsi="Arial" w:cs="Arial"/>
                <w:b/>
                <w:sz w:val="24"/>
                <w:szCs w:val="24"/>
                <w:lang w:val="en-US"/>
              </w:rPr>
              <w:t xml:space="preserve">PART </w:t>
            </w:r>
            <w:smartTag w:uri="urn:schemas-microsoft-com:office:smarttags" w:element="stockticker">
              <w:r w:rsidRPr="00D634EF">
                <w:rPr>
                  <w:rFonts w:ascii="Arial" w:eastAsia="Times New Roman" w:hAnsi="Arial" w:cs="Arial"/>
                  <w:b/>
                  <w:sz w:val="24"/>
                  <w:szCs w:val="24"/>
                  <w:lang w:val="en-US"/>
                </w:rPr>
                <w:t>VII</w:t>
              </w:r>
            </w:smartTag>
            <w:r w:rsidRPr="00D634EF">
              <w:rPr>
                <w:rFonts w:ascii="Arial" w:eastAsia="Times New Roman" w:hAnsi="Arial" w:cs="Arial"/>
                <w:b/>
                <w:sz w:val="24"/>
                <w:szCs w:val="24"/>
                <w:lang w:val="en-US"/>
              </w:rPr>
              <w:t xml:space="preserve">  PROCEDURE IN APPLICATIONS UNDER SEC. 65(7) OR (9) OF THE ACT</w:t>
            </w:r>
          </w:p>
          <w:p w:rsidR="00C81672" w:rsidRPr="00C81672" w:rsidRDefault="00C81672" w:rsidP="00C81672">
            <w:pPr>
              <w:spacing w:before="120" w:after="120" w:line="240" w:lineRule="auto"/>
              <w:rPr>
                <w:rFonts w:ascii="Arial" w:eastAsia="Times New Roman" w:hAnsi="Arial" w:cs="Arial"/>
                <w:b/>
                <w:color w:val="FF0000"/>
                <w:sz w:val="24"/>
                <w:szCs w:val="24"/>
                <w:lang w:val="en-US"/>
              </w:rPr>
            </w:pPr>
            <w:r w:rsidRPr="00C81672">
              <w:rPr>
                <w:rFonts w:ascii="Arial" w:eastAsia="Times New Roman" w:hAnsi="Arial" w:cs="Arial"/>
                <w:b/>
                <w:color w:val="FF0000"/>
                <w:sz w:val="24"/>
                <w:szCs w:val="24"/>
                <w:lang w:val="en-US"/>
              </w:rPr>
              <w:t>Applications lodge</w:t>
            </w:r>
            <w:bookmarkStart w:id="0" w:name="_GoBack"/>
            <w:bookmarkEnd w:id="0"/>
            <w:r w:rsidRPr="00C81672">
              <w:rPr>
                <w:rFonts w:ascii="Arial" w:eastAsia="Times New Roman" w:hAnsi="Arial" w:cs="Arial"/>
                <w:b/>
                <w:color w:val="FF0000"/>
                <w:sz w:val="24"/>
                <w:szCs w:val="24"/>
                <w:lang w:val="en-US"/>
              </w:rPr>
              <w:t>d before 24 June 2013</w:t>
            </w:r>
          </w:p>
          <w:p w:rsidR="00C81672" w:rsidRPr="00D634EF" w:rsidRDefault="00C81672" w:rsidP="00D634EF">
            <w:pPr>
              <w:spacing w:before="120" w:after="120" w:line="240" w:lineRule="auto"/>
              <w:rPr>
                <w:rFonts w:ascii="Arial" w:eastAsia="Times New Roman" w:hAnsi="Arial" w:cs="Arial"/>
                <w:b/>
                <w:color w:val="000000"/>
                <w:sz w:val="24"/>
                <w:szCs w:val="24"/>
                <w:lang w:val="en-US"/>
              </w:rPr>
            </w:pPr>
          </w:p>
        </w:tc>
      </w:tr>
      <w:tr w:rsidR="00D634EF" w:rsidRPr="00D634EF" w:rsidTr="00D634EF">
        <w:tc>
          <w:tcPr>
            <w:tcW w:w="1108" w:type="dxa"/>
            <w:hideMark/>
          </w:tcPr>
          <w:p w:rsidR="00D634EF" w:rsidRPr="00D634EF" w:rsidRDefault="00D634EF" w:rsidP="00D634EF">
            <w:pPr>
              <w:tabs>
                <w:tab w:val="left" w:pos="653"/>
              </w:tabs>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3.44</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4" w:history="1">
              <w:r w:rsidR="00D634EF" w:rsidRPr="001E6CA1">
                <w:rPr>
                  <w:rStyle w:val="Hyperlink"/>
                  <w:rFonts w:ascii="Arial" w:eastAsia="Times New Roman" w:hAnsi="Arial" w:cs="Arial"/>
                  <w:b/>
                  <w:sz w:val="24"/>
                  <w:szCs w:val="24"/>
                  <w:lang w:val="en-US"/>
                </w:rPr>
                <w:t>Interpretation</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3.45</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5" w:history="1">
              <w:r w:rsidR="00D634EF" w:rsidRPr="001E6CA1">
                <w:rPr>
                  <w:rStyle w:val="Hyperlink"/>
                  <w:rFonts w:ascii="Arial" w:eastAsia="Times New Roman" w:hAnsi="Arial" w:cs="Arial"/>
                  <w:b/>
                  <w:sz w:val="24"/>
                  <w:szCs w:val="24"/>
                  <w:lang w:val="en-US"/>
                </w:rPr>
                <w:t>Lodging of application, etc.</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3.46</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6" w:history="1">
              <w:r w:rsidR="00D634EF" w:rsidRPr="001E6CA1">
                <w:rPr>
                  <w:rStyle w:val="Hyperlink"/>
                  <w:rFonts w:ascii="Arial" w:eastAsia="Times New Roman" w:hAnsi="Arial" w:cs="Arial"/>
                  <w:b/>
                  <w:sz w:val="24"/>
                  <w:szCs w:val="24"/>
                  <w:lang w:val="en-US"/>
                </w:rPr>
                <w:t>Abandonment of application</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3.47</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7" w:history="1">
              <w:r w:rsidR="00D634EF" w:rsidRPr="001E6CA1">
                <w:rPr>
                  <w:rStyle w:val="Hyperlink"/>
                  <w:rFonts w:ascii="Arial" w:eastAsia="Times New Roman" w:hAnsi="Arial" w:cs="Arial"/>
                  <w:b/>
                  <w:sz w:val="24"/>
                  <w:szCs w:val="24"/>
                  <w:lang w:val="en-US"/>
                </w:rPr>
                <w:t>Hearing of evidence</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3.48</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8" w:history="1">
              <w:r w:rsidR="00D634EF" w:rsidRPr="001E6CA1">
                <w:rPr>
                  <w:rStyle w:val="Hyperlink"/>
                  <w:rFonts w:ascii="Arial" w:eastAsia="Times New Roman" w:hAnsi="Arial" w:cs="Arial"/>
                  <w:b/>
                  <w:sz w:val="24"/>
                  <w:szCs w:val="24"/>
                  <w:lang w:val="en-US"/>
                </w:rPr>
                <w:t>Amendment of grounds for referral</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3.49</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49" w:history="1">
              <w:r w:rsidR="00D634EF" w:rsidRPr="001E6CA1">
                <w:rPr>
                  <w:rStyle w:val="Hyperlink"/>
                  <w:rFonts w:ascii="Arial" w:eastAsia="Times New Roman" w:hAnsi="Arial" w:cs="Arial"/>
                  <w:b/>
                  <w:sz w:val="24"/>
                  <w:szCs w:val="24"/>
                  <w:lang w:val="en-US"/>
                </w:rPr>
                <w:t>Adjournment for inquiry, etc.</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3.50</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50" w:history="1">
              <w:r w:rsidR="00D634EF" w:rsidRPr="001E6CA1">
                <w:rPr>
                  <w:rStyle w:val="Hyperlink"/>
                  <w:rFonts w:ascii="Arial" w:eastAsia="Times New Roman" w:hAnsi="Arial" w:cs="Arial"/>
                  <w:b/>
                  <w:sz w:val="24"/>
                  <w:szCs w:val="24"/>
                  <w:lang w:val="en-US"/>
                </w:rPr>
                <w:t>Power of sheriff in making findings as to offences</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3.51</w:t>
            </w:r>
          </w:p>
        </w:tc>
        <w:tc>
          <w:tcPr>
            <w:tcW w:w="8134" w:type="dxa"/>
            <w:hideMark/>
          </w:tcPr>
          <w:p w:rsidR="00D634EF" w:rsidRPr="00D634EF" w:rsidRDefault="00C81672" w:rsidP="00D634EF">
            <w:pPr>
              <w:spacing w:before="120" w:after="120" w:line="240" w:lineRule="auto"/>
              <w:rPr>
                <w:rFonts w:ascii="Arial" w:eastAsia="Times New Roman" w:hAnsi="Arial" w:cs="Arial"/>
                <w:b/>
                <w:color w:val="000000"/>
                <w:sz w:val="24"/>
                <w:szCs w:val="24"/>
                <w:lang w:val="en-US"/>
              </w:rPr>
            </w:pPr>
            <w:hyperlink w:anchor="r0351" w:history="1">
              <w:r w:rsidR="00D634EF" w:rsidRPr="001E6CA1">
                <w:rPr>
                  <w:rStyle w:val="Hyperlink"/>
                  <w:rFonts w:ascii="Arial" w:eastAsia="Times New Roman" w:hAnsi="Arial" w:cs="Arial"/>
                  <w:b/>
                  <w:sz w:val="24"/>
                  <w:szCs w:val="24"/>
                  <w:lang w:val="en-US"/>
                </w:rPr>
                <w:t>Decision of sheriff</w:t>
              </w:r>
            </w:hyperlink>
          </w:p>
        </w:tc>
      </w:tr>
      <w:tr w:rsidR="00D634EF" w:rsidRPr="00D634EF" w:rsidTr="00D634EF">
        <w:tc>
          <w:tcPr>
            <w:tcW w:w="1108" w:type="dxa"/>
            <w:hideMark/>
          </w:tcPr>
          <w:p w:rsidR="00D634EF" w:rsidRPr="00D634EF" w:rsidRDefault="00D634EF" w:rsidP="00D634EF">
            <w:pPr>
              <w:spacing w:before="120" w:after="120" w:line="240" w:lineRule="auto"/>
              <w:rPr>
                <w:rFonts w:ascii="Arial" w:eastAsia="Times New Roman" w:hAnsi="Arial" w:cs="Arial"/>
                <w:b/>
                <w:sz w:val="24"/>
                <w:szCs w:val="24"/>
              </w:rPr>
            </w:pPr>
            <w:r w:rsidRPr="00D634EF">
              <w:rPr>
                <w:rFonts w:ascii="Arial" w:eastAsia="Times New Roman" w:hAnsi="Arial" w:cs="Arial"/>
                <w:b/>
                <w:sz w:val="24"/>
                <w:szCs w:val="24"/>
              </w:rPr>
              <w:t>3.52</w:t>
            </w:r>
          </w:p>
        </w:tc>
        <w:tc>
          <w:tcPr>
            <w:tcW w:w="8134" w:type="dxa"/>
            <w:hideMark/>
          </w:tcPr>
          <w:p w:rsidR="00D634EF" w:rsidRPr="00D634EF" w:rsidRDefault="001E6CA1" w:rsidP="00D634EF">
            <w:pPr>
              <w:spacing w:before="120" w:after="120" w:line="240" w:lineRule="auto"/>
              <w:rPr>
                <w:rFonts w:ascii="Arial" w:eastAsia="Times New Roman" w:hAnsi="Arial" w:cs="Arial"/>
                <w:b/>
                <w:color w:val="000000"/>
                <w:sz w:val="24"/>
                <w:szCs w:val="24"/>
                <w:lang w:val="en-US"/>
              </w:rPr>
            </w:pPr>
            <w:hyperlink w:anchor="r0352" w:history="1">
              <w:r w:rsidR="00D634EF" w:rsidRPr="001E6CA1">
                <w:rPr>
                  <w:rStyle w:val="Hyperlink"/>
                  <w:rFonts w:ascii="Arial" w:eastAsia="Times New Roman" w:hAnsi="Arial" w:cs="Arial"/>
                  <w:b/>
                  <w:sz w:val="24"/>
                  <w:szCs w:val="24"/>
                  <w:lang w:val="en-US"/>
                </w:rPr>
                <w:t>Signature of warrants</w:t>
              </w:r>
            </w:hyperlink>
          </w:p>
        </w:tc>
      </w:tr>
    </w:tbl>
    <w:p w:rsidR="00D634EF" w:rsidRDefault="00D634EF" w:rsidP="003546D5">
      <w:pPr>
        <w:spacing w:after="120" w:line="240" w:lineRule="auto"/>
        <w:rPr>
          <w:rFonts w:ascii="Arial" w:eastAsia="Times New Roman" w:hAnsi="Arial" w:cs="Arial"/>
          <w:b/>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r w:rsidRPr="00D634EF">
        <w:rPr>
          <w:rFonts w:ascii="Arial" w:eastAsia="Times New Roman" w:hAnsi="Arial" w:cs="Arial"/>
          <w:sz w:val="24"/>
          <w:szCs w:val="24"/>
          <w:lang w:val="en-US"/>
        </w:rPr>
        <w:br/>
      </w:r>
      <w:bookmarkStart w:id="1" w:name="r0344"/>
      <w:r w:rsidRPr="00D634EF">
        <w:rPr>
          <w:rFonts w:ascii="Arial" w:eastAsia="Times New Roman" w:hAnsi="Arial" w:cs="Arial"/>
          <w:b/>
          <w:bCs/>
          <w:sz w:val="24"/>
          <w:szCs w:val="24"/>
          <w:lang w:val="en-US"/>
        </w:rPr>
        <w:t>Interpretation</w:t>
      </w:r>
      <w:bookmarkEnd w:id="1"/>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3.44</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In this Part, "application" means an application under section 65(7) or (9) of the Act (establishment of grounds for referral).</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2" w:name="r0345"/>
      <w:proofErr w:type="gramStart"/>
      <w:r w:rsidRPr="00D634EF">
        <w:rPr>
          <w:rFonts w:ascii="Arial" w:eastAsia="Times New Roman" w:hAnsi="Arial" w:cs="Arial"/>
          <w:b/>
          <w:bCs/>
          <w:sz w:val="24"/>
          <w:szCs w:val="24"/>
          <w:lang w:val="en-US"/>
        </w:rPr>
        <w:t>Lodging of application, etc.</w:t>
      </w:r>
      <w:bookmarkEnd w:id="2"/>
      <w:proofErr w:type="gramEnd"/>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3.45</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Within a period of seven days beginning with the date on which the Principal Reporter was directed in terms of section 65 of the Act to make application to the sheriff, he shall lodge with the sheriff clerk an application in Form 60.</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 xml:space="preserve">Where a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has been appointed by the chairman at the children's hearing, the Principal Reporter shall intimate such appointment to the sheriff clerk and shall lodge along with the application any report made by the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3" w:name="r0346"/>
      <w:r w:rsidRPr="00D634EF">
        <w:rPr>
          <w:rFonts w:ascii="Arial" w:eastAsia="Times New Roman" w:hAnsi="Arial" w:cs="Arial"/>
          <w:b/>
          <w:bCs/>
          <w:sz w:val="24"/>
          <w:szCs w:val="24"/>
          <w:lang w:val="en-US"/>
        </w:rPr>
        <w:t>Abandonment of application</w:t>
      </w:r>
      <w:bookmarkEnd w:id="3"/>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lastRenderedPageBreak/>
        <w:t>3.46</w:t>
      </w:r>
      <w:r w:rsidRPr="00D634EF">
        <w:rPr>
          <w:rFonts w:ascii="Arial" w:eastAsia="Times New Roman" w:hAnsi="Arial" w:cs="Arial"/>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At any stage of the proceedings before the application is determined the Principal Reporter may abandon the application, either in whole or in part, by lodging a minute to that effect or by motion at the hearing.</w:t>
      </w:r>
    </w:p>
    <w:p w:rsidR="00D634EF" w:rsidRPr="00D634EF" w:rsidRDefault="00D634EF" w:rsidP="00D634EF">
      <w:pPr>
        <w:spacing w:after="120" w:line="240" w:lineRule="auto"/>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The Principal Reporter shall intimate such abandonment to-</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the</w:t>
      </w:r>
      <w:proofErr w:type="gramEnd"/>
      <w:r w:rsidRPr="00D634EF">
        <w:rPr>
          <w:rFonts w:ascii="Arial" w:eastAsia="Times New Roman" w:hAnsi="Arial" w:cs="Arial"/>
          <w:sz w:val="24"/>
          <w:szCs w:val="24"/>
          <w:lang w:val="en-US"/>
        </w:rPr>
        <w:t xml:space="preserve"> child, except where service on the child has been dispensed with in terms of rule 3.3;</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relevant person whose whereabouts are known to the Principal Reporter; and</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(c)</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appointed by the sheriff.</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In the event of abandonment in whole in terms of paragraph (1), the sheriff shall dismiss the application and discharge the referral.</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4" w:name="r0347"/>
      <w:r w:rsidRPr="00D634EF">
        <w:rPr>
          <w:rFonts w:ascii="Arial" w:eastAsia="Times New Roman" w:hAnsi="Arial" w:cs="Arial"/>
          <w:b/>
          <w:bCs/>
          <w:sz w:val="24"/>
          <w:szCs w:val="24"/>
          <w:lang w:val="en-US"/>
        </w:rPr>
        <w:t>Hearing of evidence</w:t>
      </w:r>
    </w:p>
    <w:bookmarkEnd w:id="4"/>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3.47</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In the case of any condition mentioned in section 52(2) of the Act (conditions relative to compulsory measures of supervision), the sheriff shall, in relation to any ground of referral which is in dispute, hear evidence tendered by or on behalf of the Principal Reporter, including evidence given pursuant to an application granted under rule 3.23.</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At the close of the evidence led by the Principal Reporter in a case where it is disputed that the condition mentioned in paragraph (</w:t>
      </w:r>
      <w:proofErr w:type="spellStart"/>
      <w:r w:rsidRPr="00D634EF">
        <w:rPr>
          <w:rFonts w:ascii="Arial" w:eastAsia="Times New Roman" w:hAnsi="Arial" w:cs="Arial"/>
          <w:sz w:val="24"/>
          <w:szCs w:val="24"/>
          <w:lang w:val="en-US"/>
        </w:rPr>
        <w:t>i</w:t>
      </w:r>
      <w:proofErr w:type="spellEnd"/>
      <w:r w:rsidRPr="00D634EF">
        <w:rPr>
          <w:rFonts w:ascii="Arial" w:eastAsia="Times New Roman" w:hAnsi="Arial" w:cs="Arial"/>
          <w:sz w:val="24"/>
          <w:szCs w:val="24"/>
          <w:lang w:val="en-US"/>
        </w:rPr>
        <w:t>) of section 52(2) of the Act is satisfied, the sheriff shall consider whether sufficient evidence has been led to establish that condition is satisfied and shall give all the parties an opportunity to be heard on the question of sufficiency of evidence.</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Where the sheriff is not satisfied that sufficient evidence has been led as mentioned in paragraph (2), he shall make a finding to that effect.</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(4)</w:t>
      </w:r>
      <w:r w:rsidRPr="00D634EF">
        <w:rPr>
          <w:rFonts w:ascii="Arial" w:eastAsia="Times New Roman" w:hAnsi="Arial" w:cs="Arial"/>
          <w:sz w:val="24"/>
          <w:szCs w:val="24"/>
          <w:lang w:val="en-US"/>
        </w:rPr>
        <w:tab/>
        <w:t xml:space="preserve">Where the sheriff is satisfied that sufficient evidence has been led as mentioned in paragraph (2), the child, the relevant person and any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appointed may give evidence and call witnesses with regard to the condition in question.</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(5)</w:t>
      </w:r>
      <w:r w:rsidRPr="00D634EF">
        <w:rPr>
          <w:rFonts w:ascii="Arial" w:eastAsia="Times New Roman" w:hAnsi="Arial" w:cs="Arial"/>
          <w:sz w:val="24"/>
          <w:szCs w:val="24"/>
          <w:lang w:val="en-US"/>
        </w:rPr>
        <w:tab/>
        <w:t xml:space="preserve">Where the nature of the case or of any evidence to be given is such that the sheriff is satisfied that it is in the interests of the child that he should not be present at any stage of the proceedings, the sheriff may exclude the child from the hearing during that stage and in that event any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appointed and the relevant person or representative of the child shall be permitted to remain during the absence of the child.</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(6)</w:t>
      </w:r>
      <w:r w:rsidRPr="00D634EF">
        <w:rPr>
          <w:rFonts w:ascii="Arial" w:eastAsia="Times New Roman" w:hAnsi="Arial" w:cs="Arial"/>
          <w:sz w:val="24"/>
          <w:szCs w:val="24"/>
          <w:lang w:val="en-US"/>
        </w:rPr>
        <w:tab/>
        <w:t>Subject to paragraph (7), the sheriff may exclude any person, including the relevant person, while any child is giving evidence if the sheriff is satisfied that this is necessary in the interests of the child and that-</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he</w:t>
      </w:r>
      <w:proofErr w:type="gramEnd"/>
      <w:r w:rsidRPr="00D634EF">
        <w:rPr>
          <w:rFonts w:ascii="Arial" w:eastAsia="Times New Roman" w:hAnsi="Arial" w:cs="Arial"/>
          <w:sz w:val="24"/>
          <w:szCs w:val="24"/>
          <w:lang w:val="en-US"/>
        </w:rPr>
        <w:t xml:space="preserve"> must do so in order to obtain the evidence of the child; or</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the</w:t>
      </w:r>
      <w:proofErr w:type="gramEnd"/>
      <w:r w:rsidRPr="00D634EF">
        <w:rPr>
          <w:rFonts w:ascii="Arial" w:eastAsia="Times New Roman" w:hAnsi="Arial" w:cs="Arial"/>
          <w:sz w:val="24"/>
          <w:szCs w:val="24"/>
          <w:lang w:val="en-US"/>
        </w:rPr>
        <w:t xml:space="preserve"> presence of the person or persons in question is causing, or is likely to cause, significant distress to the child.</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(7)</w:t>
      </w:r>
      <w:r w:rsidRPr="00D634EF">
        <w:rPr>
          <w:rFonts w:ascii="Arial" w:eastAsia="Times New Roman" w:hAnsi="Arial" w:cs="Arial"/>
          <w:sz w:val="24"/>
          <w:szCs w:val="24"/>
          <w:lang w:val="en-US"/>
        </w:rPr>
        <w:tab/>
        <w:t xml:space="preserve">Where the relevant person is not legally represented at the hearing and has been excluded under paragraph (6), the sheriff shall inform that relevant </w:t>
      </w:r>
      <w:r w:rsidRPr="00D634EF">
        <w:rPr>
          <w:rFonts w:ascii="Arial" w:eastAsia="Times New Roman" w:hAnsi="Arial" w:cs="Arial"/>
          <w:sz w:val="24"/>
          <w:szCs w:val="24"/>
          <w:lang w:val="en-US"/>
        </w:rPr>
        <w:lastRenderedPageBreak/>
        <w:t>person of the substance of any evidence given by the child and shall give that relevant person an opportunity to respond by leading evidence or otherwise.</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(8)</w:t>
      </w:r>
      <w:r w:rsidRPr="00D634EF">
        <w:rPr>
          <w:rFonts w:ascii="Arial" w:eastAsia="Times New Roman" w:hAnsi="Arial" w:cs="Arial"/>
          <w:sz w:val="24"/>
          <w:szCs w:val="24"/>
          <w:lang w:val="en-US"/>
        </w:rPr>
        <w:tab/>
        <w:t xml:space="preserve">Where evidence in a referral has been heard in part and a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thereafter becomes a party to proceedings, the sheriff may order the evidence to be reheard in whole or in part.</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5" w:name="r0348"/>
      <w:r w:rsidRPr="00D634EF">
        <w:rPr>
          <w:rFonts w:ascii="Arial" w:eastAsia="Times New Roman" w:hAnsi="Arial" w:cs="Arial"/>
          <w:b/>
          <w:bCs/>
          <w:sz w:val="24"/>
          <w:szCs w:val="24"/>
          <w:lang w:val="en-US"/>
        </w:rPr>
        <w:t>Amendment of grounds for referral</w:t>
      </w:r>
    </w:p>
    <w:bookmarkEnd w:id="5"/>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3.48</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The sheriff may at any time, on the application of any party or of his own motion, allow amendment of any statement supporting the conditions of the grounds for referral.</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6" w:name="r0349"/>
      <w:proofErr w:type="gramStart"/>
      <w:r w:rsidRPr="00D634EF">
        <w:rPr>
          <w:rFonts w:ascii="Arial" w:eastAsia="Times New Roman" w:hAnsi="Arial" w:cs="Arial"/>
          <w:b/>
          <w:bCs/>
          <w:sz w:val="24"/>
          <w:szCs w:val="24"/>
          <w:lang w:val="en-US"/>
        </w:rPr>
        <w:t>Adjournment for inquiry, etc.</w:t>
      </w:r>
      <w:proofErr w:type="gramEnd"/>
    </w:p>
    <w:bookmarkEnd w:id="6"/>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3.49</w:t>
      </w:r>
      <w:r w:rsidRPr="00D634EF">
        <w:rPr>
          <w:rFonts w:ascii="Arial" w:eastAsia="Times New Roman" w:hAnsi="Arial" w:cs="Arial"/>
          <w:bCs/>
          <w:sz w:val="24"/>
          <w:szCs w:val="24"/>
          <w:lang w:val="en-US"/>
        </w:rPr>
        <w:tab/>
      </w:r>
      <w:r w:rsidRPr="00D634EF">
        <w:rPr>
          <w:rFonts w:ascii="Arial" w:eastAsia="Times New Roman" w:hAnsi="Arial" w:cs="Arial"/>
          <w:sz w:val="24"/>
          <w:szCs w:val="24"/>
          <w:lang w:val="en-US"/>
        </w:rPr>
        <w:t>Subject to the provisions of section 68(2) of the Act (applications to be heard within twenty-eight days of lodging), the sheriff on the motion of any party or on his own motion may continue the hearing in order to allow time for further inquiry into any application, in consequence of the amendment of any statement under rule 3.48, or for any other necessary cause, for such reasonable time as he may in the circumstances consider necessary.</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7" w:name="r0350"/>
      <w:r w:rsidRPr="00D634EF">
        <w:rPr>
          <w:rFonts w:ascii="Arial" w:eastAsia="Times New Roman" w:hAnsi="Arial" w:cs="Arial"/>
          <w:b/>
          <w:bCs/>
          <w:sz w:val="24"/>
          <w:szCs w:val="24"/>
          <w:lang w:val="en-US"/>
        </w:rPr>
        <w:t>Power of sheriff in making findings as to offences</w:t>
      </w:r>
    </w:p>
    <w:bookmarkEnd w:id="7"/>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3.50</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Where in a ground of referral it is alleged that an offence has been committed by or against any child, the sheriff may find that any other offence established by the facts has been committed.</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8" w:name="r0351"/>
      <w:r w:rsidRPr="00D634EF">
        <w:rPr>
          <w:rFonts w:ascii="Arial" w:eastAsia="Times New Roman" w:hAnsi="Arial" w:cs="Arial"/>
          <w:b/>
          <w:bCs/>
          <w:sz w:val="24"/>
          <w:szCs w:val="24"/>
          <w:lang w:val="en-US"/>
        </w:rPr>
        <w:t>Decision of sheriff</w:t>
      </w:r>
    </w:p>
    <w:bookmarkEnd w:id="8"/>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t>3.51</w:t>
      </w:r>
      <w:r w:rsidRPr="00D634EF">
        <w:rPr>
          <w:rFonts w:ascii="Arial" w:eastAsia="Times New Roman" w:hAnsi="Arial" w:cs="Arial"/>
          <w:bCs/>
          <w:sz w:val="24"/>
          <w:szCs w:val="24"/>
          <w:lang w:val="en-US"/>
        </w:rPr>
        <w:tab/>
      </w:r>
      <w:r w:rsidRPr="00D634EF">
        <w:rPr>
          <w:rFonts w:ascii="Arial" w:eastAsia="Times New Roman" w:hAnsi="Arial" w:cs="Arial"/>
          <w:sz w:val="24"/>
          <w:szCs w:val="24"/>
          <w:lang w:val="en-US"/>
        </w:rPr>
        <w:t>(1)</w:t>
      </w:r>
      <w:r w:rsidRPr="00D634EF">
        <w:rPr>
          <w:rFonts w:ascii="Arial" w:eastAsia="Times New Roman" w:hAnsi="Arial" w:cs="Arial"/>
          <w:sz w:val="24"/>
          <w:szCs w:val="24"/>
          <w:lang w:val="en-US"/>
        </w:rPr>
        <w:tab/>
        <w:t>Subject to rule 3.47(3), the sheriff shall give his decision orally at the conclusion of the hearing.</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(2)</w:t>
      </w:r>
      <w:r w:rsidRPr="00D634EF">
        <w:rPr>
          <w:rFonts w:ascii="Arial" w:eastAsia="Times New Roman" w:hAnsi="Arial" w:cs="Arial"/>
          <w:sz w:val="24"/>
          <w:szCs w:val="24"/>
          <w:lang w:val="en-US"/>
        </w:rPr>
        <w:tab/>
        <w:t>The sheriff clerk shall forthwith send a copy of the interlocutor containing that decision to-</w:t>
      </w:r>
    </w:p>
    <w:p w:rsidR="00D634EF" w:rsidRPr="00D634EF" w:rsidRDefault="00D634EF" w:rsidP="00F6136A">
      <w:pPr>
        <w:spacing w:after="120" w:line="240" w:lineRule="auto"/>
        <w:ind w:left="144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(a)</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the</w:t>
      </w:r>
      <w:proofErr w:type="gramEnd"/>
      <w:r w:rsidRPr="00D634EF">
        <w:rPr>
          <w:rFonts w:ascii="Arial" w:eastAsia="Times New Roman" w:hAnsi="Arial" w:cs="Arial"/>
          <w:sz w:val="24"/>
          <w:szCs w:val="24"/>
          <w:lang w:val="en-US"/>
        </w:rPr>
        <w:t xml:space="preserve"> child, except where service on the child has been dispensed with in terms of rule 3.3;</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(b)</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relevant person whose whereabouts are known;</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(c)</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any</w:t>
      </w:r>
      <w:proofErr w:type="gramEnd"/>
      <w:r w:rsidRPr="00D634EF">
        <w:rPr>
          <w:rFonts w:ascii="Arial" w:eastAsia="Times New Roman" w:hAnsi="Arial" w:cs="Arial"/>
          <w:sz w:val="24"/>
          <w:szCs w:val="24"/>
          <w:lang w:val="en-US"/>
        </w:rPr>
        <w:t xml:space="preserve"> </w:t>
      </w:r>
      <w:proofErr w:type="spellStart"/>
      <w:r w:rsidRPr="00D634EF">
        <w:rPr>
          <w:rFonts w:ascii="Arial" w:eastAsia="Times New Roman" w:hAnsi="Arial" w:cs="Arial"/>
          <w:sz w:val="24"/>
          <w:szCs w:val="24"/>
          <w:lang w:val="en-US"/>
        </w:rPr>
        <w:t>safeguarder</w:t>
      </w:r>
      <w:proofErr w:type="spellEnd"/>
      <w:r w:rsidRPr="00D634EF">
        <w:rPr>
          <w:rFonts w:ascii="Arial" w:eastAsia="Times New Roman" w:hAnsi="Arial" w:cs="Arial"/>
          <w:sz w:val="24"/>
          <w:szCs w:val="24"/>
          <w:lang w:val="en-US"/>
        </w:rPr>
        <w:t xml:space="preserve"> appointed by the sheriff; and</w:t>
      </w:r>
    </w:p>
    <w:p w:rsidR="00D634EF" w:rsidRPr="00D634EF" w:rsidRDefault="00D634EF" w:rsidP="00F6136A">
      <w:pPr>
        <w:spacing w:after="120" w:line="240" w:lineRule="auto"/>
        <w:ind w:firstLine="720"/>
        <w:jc w:val="both"/>
        <w:rPr>
          <w:rFonts w:ascii="Arial" w:eastAsia="Times New Roman" w:hAnsi="Arial" w:cs="Arial"/>
          <w:sz w:val="24"/>
          <w:szCs w:val="24"/>
          <w:lang w:val="en-US"/>
        </w:rPr>
      </w:pPr>
      <w:r w:rsidRPr="00D634EF">
        <w:rPr>
          <w:rFonts w:ascii="Arial" w:eastAsia="Times New Roman" w:hAnsi="Arial" w:cs="Arial"/>
          <w:sz w:val="24"/>
          <w:szCs w:val="24"/>
          <w:lang w:val="en-US"/>
        </w:rPr>
        <w:t>(d)</w:t>
      </w:r>
      <w:r w:rsidRPr="00D634EF">
        <w:rPr>
          <w:rFonts w:ascii="Arial" w:eastAsia="Times New Roman" w:hAnsi="Arial" w:cs="Arial"/>
          <w:sz w:val="24"/>
          <w:szCs w:val="24"/>
          <w:lang w:val="en-US"/>
        </w:rPr>
        <w:tab/>
      </w:r>
      <w:proofErr w:type="gramStart"/>
      <w:r w:rsidRPr="00D634EF">
        <w:rPr>
          <w:rFonts w:ascii="Arial" w:eastAsia="Times New Roman" w:hAnsi="Arial" w:cs="Arial"/>
          <w:sz w:val="24"/>
          <w:szCs w:val="24"/>
          <w:lang w:val="en-US"/>
        </w:rPr>
        <w:t>the</w:t>
      </w:r>
      <w:proofErr w:type="gramEnd"/>
      <w:r w:rsidRPr="00D634EF">
        <w:rPr>
          <w:rFonts w:ascii="Arial" w:eastAsia="Times New Roman" w:hAnsi="Arial" w:cs="Arial"/>
          <w:sz w:val="24"/>
          <w:szCs w:val="24"/>
          <w:lang w:val="en-US"/>
        </w:rPr>
        <w:t xml:space="preserve"> Principal Reporter.</w:t>
      </w:r>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sz w:val="24"/>
          <w:szCs w:val="24"/>
          <w:lang w:val="en-US"/>
        </w:rPr>
        <w:t>(3)</w:t>
      </w:r>
      <w:r w:rsidRPr="00D634EF">
        <w:rPr>
          <w:rFonts w:ascii="Arial" w:eastAsia="Times New Roman" w:hAnsi="Arial" w:cs="Arial"/>
          <w:sz w:val="24"/>
          <w:szCs w:val="24"/>
          <w:lang w:val="en-US"/>
        </w:rPr>
        <w:tab/>
        <w:t>The sheriff may, when giving his decision in terms of paragraph (1) or within 7 days thereafter, issue a note of the reasons for his decision and the sheriff clerk shall forthwith send a copy of such a note to the persons referred to in paragraph (2).</w:t>
      </w:r>
    </w:p>
    <w:p w:rsidR="00D634EF" w:rsidRPr="00D634EF" w:rsidRDefault="00D634EF" w:rsidP="00D634EF">
      <w:pPr>
        <w:spacing w:after="120" w:line="240" w:lineRule="auto"/>
        <w:jc w:val="both"/>
        <w:rPr>
          <w:rFonts w:ascii="Arial" w:eastAsia="Times New Roman" w:hAnsi="Arial" w:cs="Arial"/>
          <w:sz w:val="24"/>
          <w:szCs w:val="24"/>
          <w:lang w:val="en-US"/>
        </w:rPr>
      </w:pPr>
    </w:p>
    <w:p w:rsidR="00D634EF" w:rsidRPr="00D634EF" w:rsidRDefault="00D634EF" w:rsidP="00D634EF">
      <w:pPr>
        <w:spacing w:after="120" w:line="240" w:lineRule="auto"/>
        <w:jc w:val="both"/>
        <w:rPr>
          <w:rFonts w:ascii="Arial" w:eastAsia="Times New Roman" w:hAnsi="Arial" w:cs="Arial"/>
          <w:b/>
          <w:bCs/>
          <w:sz w:val="24"/>
          <w:szCs w:val="24"/>
          <w:lang w:val="en-US"/>
        </w:rPr>
      </w:pPr>
      <w:bookmarkStart w:id="9" w:name="r0352"/>
      <w:r w:rsidRPr="00D634EF">
        <w:rPr>
          <w:rFonts w:ascii="Arial" w:eastAsia="Times New Roman" w:hAnsi="Arial" w:cs="Arial"/>
          <w:b/>
          <w:bCs/>
          <w:sz w:val="24"/>
          <w:szCs w:val="24"/>
          <w:lang w:val="en-US"/>
        </w:rPr>
        <w:t>Signature of warrants</w:t>
      </w:r>
      <w:bookmarkEnd w:id="9"/>
    </w:p>
    <w:p w:rsidR="00D634EF" w:rsidRPr="00D634EF" w:rsidRDefault="00D634EF" w:rsidP="00F6136A">
      <w:pPr>
        <w:spacing w:after="120" w:line="240" w:lineRule="auto"/>
        <w:ind w:left="720" w:hanging="720"/>
        <w:jc w:val="both"/>
        <w:rPr>
          <w:rFonts w:ascii="Arial" w:eastAsia="Times New Roman" w:hAnsi="Arial" w:cs="Arial"/>
          <w:sz w:val="24"/>
          <w:szCs w:val="24"/>
          <w:lang w:val="en-US"/>
        </w:rPr>
      </w:pPr>
      <w:r w:rsidRPr="00D634EF">
        <w:rPr>
          <w:rFonts w:ascii="Arial" w:eastAsia="Times New Roman" w:hAnsi="Arial" w:cs="Arial"/>
          <w:b/>
          <w:bCs/>
          <w:sz w:val="24"/>
          <w:szCs w:val="24"/>
          <w:lang w:val="en-US"/>
        </w:rPr>
        <w:lastRenderedPageBreak/>
        <w:t>3.52</w:t>
      </w:r>
      <w:r w:rsidRPr="00D634EF">
        <w:rPr>
          <w:rFonts w:ascii="Arial" w:eastAsia="Times New Roman" w:hAnsi="Arial" w:cs="Arial"/>
          <w:b/>
          <w:bCs/>
          <w:sz w:val="24"/>
          <w:szCs w:val="24"/>
          <w:lang w:val="en-US"/>
        </w:rPr>
        <w:tab/>
      </w:r>
      <w:r w:rsidRPr="00D634EF">
        <w:rPr>
          <w:rFonts w:ascii="Arial" w:eastAsia="Times New Roman" w:hAnsi="Arial" w:cs="Arial"/>
          <w:sz w:val="24"/>
          <w:szCs w:val="24"/>
          <w:lang w:val="en-US"/>
        </w:rPr>
        <w:t>Warrants, other than warrants granted by the sheriff under section 68(6) of the Act where the child has failed to attend a children's hearing, may be signed by the sheriff clerk but any warrant may, and a warrant under the said section 68(6) shall, be signed by the sheriff.</w:t>
      </w:r>
    </w:p>
    <w:p w:rsidR="00D634EF" w:rsidRPr="00D634EF" w:rsidRDefault="00D634EF" w:rsidP="00D634EF">
      <w:pPr>
        <w:spacing w:after="120" w:line="240" w:lineRule="auto"/>
        <w:jc w:val="both"/>
        <w:rPr>
          <w:rFonts w:ascii="Arial" w:eastAsia="Times New Roman" w:hAnsi="Arial" w:cs="Arial"/>
          <w:sz w:val="24"/>
          <w:szCs w:val="24"/>
          <w:lang w:val="en-US"/>
        </w:rPr>
      </w:pPr>
    </w:p>
    <w:p w:rsidR="0025192D" w:rsidRPr="006F5E24" w:rsidRDefault="00C81672" w:rsidP="006F5E24"/>
    <w:sectPr w:rsidR="0025192D" w:rsidRPr="006F5E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A20"/>
    <w:rsid w:val="001E6CA1"/>
    <w:rsid w:val="002532DF"/>
    <w:rsid w:val="003546D5"/>
    <w:rsid w:val="00377CAD"/>
    <w:rsid w:val="00417194"/>
    <w:rsid w:val="00645EAC"/>
    <w:rsid w:val="006F5E24"/>
    <w:rsid w:val="00763EC1"/>
    <w:rsid w:val="0098145C"/>
    <w:rsid w:val="00B92865"/>
    <w:rsid w:val="00BF6A20"/>
    <w:rsid w:val="00C81672"/>
    <w:rsid w:val="00D634EF"/>
    <w:rsid w:val="00F613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uiPriority w:val="99"/>
    <w:semiHidden/>
    <w:unhideWhenUsed/>
    <w:rsid w:val="00D634E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417194"/>
  </w:style>
  <w:style w:type="character" w:styleId="Hyperlink">
    <w:name w:val="Hyperlink"/>
    <w:unhideWhenUsed/>
    <w:rsid w:val="00417194"/>
    <w:rPr>
      <w:color w:val="0000FF"/>
      <w:u w:val="single"/>
    </w:rPr>
  </w:style>
  <w:style w:type="character" w:styleId="FollowedHyperlink">
    <w:name w:val="FollowedHyperlink"/>
    <w:semiHidden/>
    <w:unhideWhenUsed/>
    <w:rsid w:val="00417194"/>
    <w:rPr>
      <w:color w:val="800080"/>
      <w:u w:val="single"/>
    </w:rPr>
  </w:style>
  <w:style w:type="paragraph" w:styleId="NormalWeb">
    <w:name w:val="Normal (Web)"/>
    <w:basedOn w:val="Normal"/>
    <w:semiHidden/>
    <w:unhideWhenUsed/>
    <w:rsid w:val="00417194"/>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417194"/>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92865"/>
  </w:style>
  <w:style w:type="numbering" w:customStyle="1" w:styleId="NoList3">
    <w:name w:val="No List3"/>
    <w:next w:val="NoList"/>
    <w:uiPriority w:val="99"/>
    <w:semiHidden/>
    <w:unhideWhenUsed/>
    <w:rsid w:val="00D63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96003">
      <w:bodyDiv w:val="1"/>
      <w:marLeft w:val="0"/>
      <w:marRight w:val="0"/>
      <w:marTop w:val="0"/>
      <w:marBottom w:val="0"/>
      <w:divBdr>
        <w:top w:val="none" w:sz="0" w:space="0" w:color="auto"/>
        <w:left w:val="none" w:sz="0" w:space="0" w:color="auto"/>
        <w:bottom w:val="none" w:sz="0" w:space="0" w:color="auto"/>
        <w:right w:val="none" w:sz="0" w:space="0" w:color="auto"/>
      </w:divBdr>
    </w:div>
    <w:div w:id="237639858">
      <w:bodyDiv w:val="1"/>
      <w:marLeft w:val="0"/>
      <w:marRight w:val="0"/>
      <w:marTop w:val="0"/>
      <w:marBottom w:val="0"/>
      <w:divBdr>
        <w:top w:val="none" w:sz="0" w:space="0" w:color="auto"/>
        <w:left w:val="none" w:sz="0" w:space="0" w:color="auto"/>
        <w:bottom w:val="none" w:sz="0" w:space="0" w:color="auto"/>
        <w:right w:val="none" w:sz="0" w:space="0" w:color="auto"/>
      </w:divBdr>
    </w:div>
    <w:div w:id="651523076">
      <w:bodyDiv w:val="1"/>
      <w:marLeft w:val="0"/>
      <w:marRight w:val="0"/>
      <w:marTop w:val="0"/>
      <w:marBottom w:val="0"/>
      <w:divBdr>
        <w:top w:val="none" w:sz="0" w:space="0" w:color="auto"/>
        <w:left w:val="none" w:sz="0" w:space="0" w:color="auto"/>
        <w:bottom w:val="none" w:sz="0" w:space="0" w:color="auto"/>
        <w:right w:val="none" w:sz="0" w:space="0" w:color="auto"/>
      </w:divBdr>
    </w:div>
    <w:div w:id="1253777381">
      <w:bodyDiv w:val="1"/>
      <w:marLeft w:val="0"/>
      <w:marRight w:val="0"/>
      <w:marTop w:val="0"/>
      <w:marBottom w:val="0"/>
      <w:divBdr>
        <w:top w:val="none" w:sz="0" w:space="0" w:color="auto"/>
        <w:left w:val="none" w:sz="0" w:space="0" w:color="auto"/>
        <w:bottom w:val="none" w:sz="0" w:space="0" w:color="auto"/>
        <w:right w:val="none" w:sz="0" w:space="0" w:color="auto"/>
      </w:divBdr>
    </w:div>
    <w:div w:id="208660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977</Words>
  <Characters>5571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7</cp:revision>
  <dcterms:created xsi:type="dcterms:W3CDTF">2012-08-29T10:35:00Z</dcterms:created>
  <dcterms:modified xsi:type="dcterms:W3CDTF">2013-05-30T10:00:00Z</dcterms:modified>
</cp:coreProperties>
</file>