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108"/>
        <w:gridCol w:w="8134"/>
      </w:tblGrid>
      <w:tr w:rsidR="00CF5BB8" w:rsidRPr="00CC125E" w:rsidTr="00CC125E">
        <w:tc>
          <w:tcPr>
            <w:tcW w:w="9242" w:type="dxa"/>
            <w:gridSpan w:val="2"/>
          </w:tcPr>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Act of Sederunt (Child Care and Maintenance Rules) 1997</w:t>
            </w:r>
          </w:p>
          <w:p w:rsidR="00CF5BB8" w:rsidRPr="00CF5BB8" w:rsidRDefault="00CF5BB8" w:rsidP="00CF5BB8">
            <w:pPr>
              <w:spacing w:before="120" w:after="120" w:line="240" w:lineRule="auto"/>
              <w:jc w:val="center"/>
              <w:rPr>
                <w:rFonts w:ascii="Calibri" w:eastAsia="Calibri" w:hAnsi="Calibri" w:cs="Calibri"/>
                <w:b/>
                <w:bCs/>
                <w:sz w:val="28"/>
                <w:szCs w:val="28"/>
                <w:lang w:val="en-US"/>
              </w:rPr>
            </w:pPr>
            <w:r w:rsidRPr="00CF5BB8">
              <w:rPr>
                <w:rFonts w:ascii="Calibri" w:eastAsia="Calibri" w:hAnsi="Calibri" w:cs="Calibri"/>
                <w:b/>
                <w:bCs/>
                <w:sz w:val="28"/>
                <w:szCs w:val="28"/>
                <w:lang w:val="en-US"/>
              </w:rPr>
              <w:t>Statutory Instrument 1997 No. 291 (S.19)</w:t>
            </w:r>
          </w:p>
          <w:p w:rsidR="00CF5BB8" w:rsidRDefault="00CF5BB8" w:rsidP="00771141">
            <w:pPr>
              <w:spacing w:before="120" w:after="120" w:line="240" w:lineRule="auto"/>
              <w:jc w:val="center"/>
              <w:rPr>
                <w:rFonts w:ascii="Arial" w:eastAsia="Times New Roman" w:hAnsi="Arial" w:cs="Arial"/>
                <w:sz w:val="24"/>
                <w:szCs w:val="24"/>
                <w:lang w:val="en-US"/>
              </w:rPr>
            </w:pPr>
          </w:p>
          <w:p w:rsidR="00CF5BB8" w:rsidRPr="00CC125E" w:rsidRDefault="00CF5BB8" w:rsidP="00355A4E">
            <w:pPr>
              <w:spacing w:before="120" w:after="120" w:line="240" w:lineRule="auto"/>
              <w:jc w:val="center"/>
              <w:rPr>
                <w:rFonts w:ascii="Arial" w:eastAsia="Times New Roman" w:hAnsi="Arial" w:cs="Arial"/>
                <w:b/>
                <w:sz w:val="24"/>
                <w:szCs w:val="24"/>
                <w:lang w:val="en-US"/>
              </w:rPr>
            </w:pPr>
          </w:p>
        </w:tc>
      </w:tr>
      <w:tr w:rsidR="00CC125E" w:rsidRPr="00CC125E" w:rsidTr="00CC125E">
        <w:tc>
          <w:tcPr>
            <w:tcW w:w="9242" w:type="dxa"/>
            <w:gridSpan w:val="2"/>
            <w:hideMark/>
          </w:tcPr>
          <w:p w:rsidR="00CC125E" w:rsidRDefault="00CC125E" w:rsidP="00355A4E">
            <w:pPr>
              <w:spacing w:before="120" w:after="120" w:line="240" w:lineRule="auto"/>
              <w:rPr>
                <w:rFonts w:ascii="Arial" w:eastAsia="Times New Roman" w:hAnsi="Arial" w:cs="Arial"/>
                <w:b/>
                <w:sz w:val="24"/>
                <w:szCs w:val="24"/>
                <w:lang w:val="en-US"/>
              </w:rPr>
            </w:pPr>
            <w:r w:rsidRPr="00CC125E">
              <w:rPr>
                <w:rFonts w:ascii="Arial" w:eastAsia="Times New Roman" w:hAnsi="Arial" w:cs="Arial"/>
                <w:b/>
                <w:sz w:val="24"/>
                <w:szCs w:val="24"/>
                <w:lang w:val="en-US"/>
              </w:rPr>
              <w:t>PART I  INTERPRETATION</w:t>
            </w:r>
          </w:p>
          <w:p w:rsidR="00355A4E" w:rsidRPr="00355A4E" w:rsidRDefault="00355A4E" w:rsidP="00355A4E">
            <w:pPr>
              <w:spacing w:before="120" w:after="120" w:line="240" w:lineRule="auto"/>
              <w:rPr>
                <w:rFonts w:ascii="Arial" w:eastAsia="Times New Roman" w:hAnsi="Arial" w:cs="Arial"/>
                <w:b/>
                <w:color w:val="FF0000"/>
                <w:sz w:val="24"/>
                <w:szCs w:val="24"/>
                <w:lang w:val="en-US"/>
              </w:rPr>
            </w:pPr>
            <w:r w:rsidRPr="00355A4E">
              <w:rPr>
                <w:rFonts w:ascii="Arial" w:eastAsia="Times New Roman" w:hAnsi="Arial" w:cs="Arial"/>
                <w:b/>
                <w:color w:val="FF0000"/>
                <w:sz w:val="24"/>
                <w:szCs w:val="24"/>
                <w:lang w:val="en-US"/>
              </w:rPr>
              <w:t xml:space="preserve">Applications lodged </w:t>
            </w:r>
            <w:r w:rsidR="00570EF0">
              <w:rPr>
                <w:rFonts w:ascii="Arial" w:eastAsia="Times New Roman" w:hAnsi="Arial" w:cs="Arial"/>
                <w:b/>
                <w:color w:val="FF0000"/>
                <w:sz w:val="24"/>
                <w:szCs w:val="24"/>
                <w:lang w:val="en-US"/>
              </w:rPr>
              <w:t>on or after</w:t>
            </w:r>
            <w:r w:rsidRPr="00355A4E">
              <w:rPr>
                <w:rFonts w:ascii="Arial" w:eastAsia="Times New Roman" w:hAnsi="Arial" w:cs="Arial"/>
                <w:b/>
                <w:color w:val="FF0000"/>
                <w:sz w:val="24"/>
                <w:szCs w:val="24"/>
                <w:lang w:val="en-US"/>
              </w:rPr>
              <w:t xml:space="preserve"> 24 June 2013</w:t>
            </w:r>
          </w:p>
          <w:p w:rsidR="00355A4E" w:rsidRPr="00CC125E" w:rsidRDefault="00355A4E" w:rsidP="00355A4E">
            <w:pPr>
              <w:spacing w:before="120" w:after="120" w:line="240" w:lineRule="auto"/>
              <w:rPr>
                <w:rFonts w:ascii="Arial" w:eastAsia="Times New Roman" w:hAnsi="Arial" w:cs="Arial"/>
                <w:b/>
                <w:color w:val="0000FF"/>
                <w:sz w:val="24"/>
                <w:szCs w:val="24"/>
                <w:u w:val="single"/>
                <w:lang w:val="en-US"/>
              </w:rPr>
            </w:pPr>
          </w:p>
        </w:tc>
      </w:tr>
      <w:tr w:rsidR="00CC125E" w:rsidRPr="00CC125E" w:rsidTr="00CC125E">
        <w:tc>
          <w:tcPr>
            <w:tcW w:w="1108" w:type="dxa"/>
            <w:hideMark/>
          </w:tcPr>
          <w:p w:rsidR="00CC125E" w:rsidRPr="00CC125E" w:rsidRDefault="00CC125E" w:rsidP="00CC125E">
            <w:pPr>
              <w:spacing w:before="120" w:after="120" w:line="240" w:lineRule="auto"/>
              <w:rPr>
                <w:rFonts w:ascii="Arial" w:eastAsia="Times New Roman" w:hAnsi="Arial" w:cs="Arial"/>
                <w:b/>
                <w:sz w:val="24"/>
                <w:szCs w:val="24"/>
              </w:rPr>
            </w:pPr>
            <w:r w:rsidRPr="00CC125E">
              <w:rPr>
                <w:rFonts w:ascii="Arial" w:eastAsia="Times New Roman" w:hAnsi="Arial" w:cs="Arial"/>
                <w:b/>
                <w:sz w:val="24"/>
                <w:szCs w:val="24"/>
              </w:rPr>
              <w:t>3.1</w:t>
            </w:r>
          </w:p>
        </w:tc>
        <w:tc>
          <w:tcPr>
            <w:tcW w:w="8134" w:type="dxa"/>
            <w:hideMark/>
          </w:tcPr>
          <w:p w:rsidR="00CC125E" w:rsidRPr="00CC125E" w:rsidRDefault="00E76B9B" w:rsidP="00CC125E">
            <w:pPr>
              <w:spacing w:before="120" w:after="120" w:line="240" w:lineRule="auto"/>
              <w:rPr>
                <w:rFonts w:ascii="Arial" w:eastAsia="Times New Roman" w:hAnsi="Arial" w:cs="Arial"/>
                <w:b/>
                <w:color w:val="000000"/>
                <w:sz w:val="24"/>
                <w:szCs w:val="24"/>
                <w:lang w:val="en-US"/>
              </w:rPr>
            </w:pPr>
            <w:hyperlink w:anchor="r0301" w:history="1">
              <w:r w:rsidR="00CC125E" w:rsidRPr="006373C7">
                <w:rPr>
                  <w:rStyle w:val="Hyperlink"/>
                  <w:rFonts w:ascii="Arial" w:eastAsia="Times New Roman" w:hAnsi="Arial" w:cs="Arial"/>
                  <w:b/>
                  <w:sz w:val="24"/>
                  <w:szCs w:val="24"/>
                  <w:lang w:val="en-US"/>
                </w:rPr>
                <w:t>Interpretation</w:t>
              </w:r>
            </w:hyperlink>
          </w:p>
        </w:tc>
      </w:tr>
    </w:tbl>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0" w:line="240" w:lineRule="auto"/>
        <w:rPr>
          <w:rFonts w:ascii="Arial" w:eastAsia="Times New Roman" w:hAnsi="Arial" w:cs="Arial"/>
          <w:sz w:val="20"/>
          <w:szCs w:val="20"/>
        </w:rPr>
      </w:pPr>
    </w:p>
    <w:p w:rsidR="00CC125E" w:rsidRPr="00CC125E" w:rsidRDefault="00CC125E" w:rsidP="00CC125E">
      <w:pPr>
        <w:spacing w:after="120" w:line="240" w:lineRule="auto"/>
        <w:jc w:val="both"/>
        <w:rPr>
          <w:rFonts w:ascii="Arial" w:eastAsia="Times New Roman" w:hAnsi="Arial" w:cs="Arial"/>
          <w:b/>
          <w:bCs/>
          <w:sz w:val="24"/>
          <w:szCs w:val="24"/>
          <w:lang w:val="en-US"/>
        </w:rPr>
      </w:pPr>
      <w:r w:rsidRPr="00CC125E">
        <w:rPr>
          <w:rFonts w:ascii="Arial" w:eastAsia="Times New Roman" w:hAnsi="Arial" w:cs="Arial"/>
          <w:sz w:val="24"/>
          <w:szCs w:val="24"/>
          <w:lang w:val="en-US"/>
        </w:rPr>
        <w:br/>
      </w:r>
      <w:bookmarkStart w:id="0" w:name="r0301"/>
      <w:r w:rsidRPr="00CC125E">
        <w:rPr>
          <w:rFonts w:ascii="Arial" w:eastAsia="Times New Roman" w:hAnsi="Arial" w:cs="Arial"/>
          <w:b/>
          <w:bCs/>
          <w:sz w:val="24"/>
          <w:szCs w:val="24"/>
          <w:lang w:val="en-US"/>
        </w:rPr>
        <w:t>Interpretation</w:t>
      </w:r>
      <w:bookmarkEnd w:id="0"/>
    </w:p>
    <w:p w:rsidR="00CC125E" w:rsidRPr="00CC125E" w:rsidRDefault="00CC125E" w:rsidP="00CC125E">
      <w:pPr>
        <w:spacing w:after="120" w:line="240" w:lineRule="auto"/>
        <w:jc w:val="both"/>
        <w:rPr>
          <w:rFonts w:ascii="Arial" w:eastAsia="Times New Roman" w:hAnsi="Arial" w:cs="Arial"/>
          <w:sz w:val="24"/>
          <w:szCs w:val="24"/>
          <w:lang w:val="en-US"/>
        </w:rPr>
      </w:pPr>
      <w:r w:rsidRPr="00CC125E">
        <w:rPr>
          <w:rFonts w:ascii="Arial" w:eastAsia="Times New Roman" w:hAnsi="Arial" w:cs="Arial"/>
          <w:b/>
          <w:bCs/>
          <w:sz w:val="24"/>
          <w:szCs w:val="24"/>
          <w:lang w:val="en-US"/>
        </w:rPr>
        <w:t>3.1</w:t>
      </w:r>
      <w:r w:rsidRPr="00CC125E">
        <w:rPr>
          <w:rFonts w:ascii="Arial" w:eastAsia="Times New Roman" w:hAnsi="Arial" w:cs="Arial"/>
          <w:b/>
          <w:bCs/>
          <w:sz w:val="24"/>
          <w:szCs w:val="24"/>
          <w:lang w:val="en-US"/>
        </w:rPr>
        <w:tab/>
      </w:r>
      <w:r w:rsidRPr="00CC125E">
        <w:rPr>
          <w:rFonts w:ascii="Arial" w:eastAsia="Times New Roman" w:hAnsi="Arial" w:cs="Arial"/>
          <w:sz w:val="24"/>
          <w:szCs w:val="24"/>
          <w:lang w:val="en-US"/>
        </w:rPr>
        <w:t>(1)</w:t>
      </w:r>
      <w:r w:rsidRPr="00CC125E">
        <w:rPr>
          <w:rFonts w:ascii="Arial" w:eastAsia="Times New Roman" w:hAnsi="Arial" w:cs="Arial"/>
          <w:sz w:val="24"/>
          <w:szCs w:val="24"/>
          <w:lang w:val="en-US"/>
        </w:rPr>
        <w:tab/>
      </w:r>
      <w:proofErr w:type="gramStart"/>
      <w:r w:rsidRPr="00CC125E">
        <w:rPr>
          <w:rFonts w:ascii="Arial" w:eastAsia="Times New Roman" w:hAnsi="Arial" w:cs="Arial"/>
          <w:sz w:val="24"/>
          <w:szCs w:val="24"/>
          <w:lang w:val="en-US"/>
        </w:rPr>
        <w:t>In</w:t>
      </w:r>
      <w:proofErr w:type="gramEnd"/>
      <w:r w:rsidRPr="00CC125E">
        <w:rPr>
          <w:rFonts w:ascii="Arial" w:eastAsia="Times New Roman" w:hAnsi="Arial" w:cs="Arial"/>
          <w:sz w:val="24"/>
          <w:szCs w:val="24"/>
          <w:lang w:val="en-US"/>
        </w:rPr>
        <w:t xml:space="preserve"> this Chapter, unless the context otherwise requires-</w:t>
      </w:r>
    </w:p>
    <w:p w:rsidR="00CD1C6A" w:rsidRDefault="00CD1C6A" w:rsidP="00AE581A">
      <w:pPr>
        <w:spacing w:after="120" w:line="240" w:lineRule="auto"/>
        <w:ind w:left="1440"/>
        <w:jc w:val="both"/>
        <w:rPr>
          <w:rFonts w:ascii="Arial" w:eastAsia="Times New Roman" w:hAnsi="Arial" w:cs="Arial"/>
          <w:sz w:val="24"/>
          <w:szCs w:val="24"/>
          <w:lang w:val="en-US"/>
        </w:rPr>
      </w:pPr>
      <w:r w:rsidRPr="00CD1C6A">
        <w:rPr>
          <w:rFonts w:ascii="Arial" w:eastAsia="Times New Roman" w:hAnsi="Arial" w:cs="Arial"/>
          <w:sz w:val="24"/>
          <w:szCs w:val="24"/>
        </w:rPr>
        <w:t>“1995 Act” means the Children (Scotland) Act 1995 and (except where the context otherwise requires) references to terms defined in that Act have the same meaning here as given there;</w:t>
      </w:r>
    </w:p>
    <w:p w:rsidR="00CD1C6A" w:rsidRDefault="00CD1C6A" w:rsidP="00CD1C6A">
      <w:pPr>
        <w:spacing w:after="120" w:line="240" w:lineRule="auto"/>
        <w:ind w:left="1440"/>
        <w:jc w:val="both"/>
        <w:rPr>
          <w:rFonts w:ascii="Arial" w:eastAsia="Times New Roman" w:hAnsi="Arial" w:cs="Arial"/>
          <w:sz w:val="24"/>
          <w:szCs w:val="24"/>
        </w:rPr>
      </w:pPr>
      <w:r w:rsidRPr="00CD1C6A">
        <w:rPr>
          <w:rFonts w:ascii="Arial" w:eastAsia="Times New Roman" w:hAnsi="Arial" w:cs="Arial"/>
          <w:sz w:val="24"/>
          <w:szCs w:val="24"/>
        </w:rPr>
        <w:t>“2011 Act” means the Children’s Hearings (Scotland) Act 2011 and (except where the context otherwise requires) references to terms defined in that Act have the same meaning here as given there;</w:t>
      </w:r>
    </w:p>
    <w:p w:rsidR="00E76B9B" w:rsidRPr="00CD1C6A" w:rsidRDefault="00E76B9B" w:rsidP="00CD1C6A">
      <w:pPr>
        <w:spacing w:after="120" w:line="240" w:lineRule="auto"/>
        <w:ind w:left="1440"/>
        <w:jc w:val="both"/>
        <w:rPr>
          <w:rFonts w:ascii="Arial" w:eastAsia="Times New Roman" w:hAnsi="Arial" w:cs="Arial"/>
          <w:sz w:val="24"/>
          <w:szCs w:val="24"/>
        </w:rPr>
      </w:pPr>
      <w:r w:rsidRPr="00E76B9B">
        <w:rPr>
          <w:rFonts w:ascii="Arial" w:eastAsia="Times New Roman" w:hAnsi="Arial" w:cs="Arial"/>
          <w:sz w:val="24"/>
          <w:szCs w:val="24"/>
          <w:lang w:val="en-US"/>
        </w:rPr>
        <w:t>“CPSA 1995” means the Criminal Procedure (Scotland) Act 1995 and (except where the context otherwise requires) references to terms defined in that Act have the same meaning here as given there;</w:t>
      </w:r>
    </w:p>
    <w:p w:rsidR="00CD1C6A" w:rsidRPr="00CD1C6A" w:rsidRDefault="00CD1C6A" w:rsidP="00CD1C6A">
      <w:pPr>
        <w:spacing w:after="120" w:line="240" w:lineRule="auto"/>
        <w:ind w:left="1440"/>
        <w:jc w:val="both"/>
        <w:rPr>
          <w:rFonts w:ascii="Arial" w:eastAsia="Times New Roman" w:hAnsi="Arial" w:cs="Arial"/>
          <w:sz w:val="24"/>
          <w:szCs w:val="24"/>
        </w:rPr>
      </w:pPr>
      <w:r w:rsidRPr="00CD1C6A">
        <w:rPr>
          <w:rFonts w:ascii="Arial" w:eastAsia="Times New Roman" w:hAnsi="Arial" w:cs="Arial"/>
          <w:sz w:val="24"/>
          <w:szCs w:val="24"/>
        </w:rPr>
        <w:t>“</w:t>
      </w:r>
      <w:proofErr w:type="gramStart"/>
      <w:r w:rsidRPr="00CD1C6A">
        <w:rPr>
          <w:rFonts w:ascii="Arial" w:eastAsia="Times New Roman" w:hAnsi="Arial" w:cs="Arial"/>
          <w:sz w:val="24"/>
          <w:szCs w:val="24"/>
        </w:rPr>
        <w:t>relevant</w:t>
      </w:r>
      <w:proofErr w:type="gramEnd"/>
      <w:r w:rsidRPr="00CD1C6A">
        <w:rPr>
          <w:rFonts w:ascii="Arial" w:eastAsia="Times New Roman" w:hAnsi="Arial" w:cs="Arial"/>
          <w:sz w:val="24"/>
          <w:szCs w:val="24"/>
        </w:rPr>
        <w:t xml:space="preserve"> person” means—</w:t>
      </w:r>
    </w:p>
    <w:p w:rsidR="00CD1C6A" w:rsidRPr="00CD1C6A" w:rsidRDefault="00CD1C6A" w:rsidP="00CD1C6A">
      <w:pPr>
        <w:spacing w:after="120" w:line="240" w:lineRule="auto"/>
        <w:ind w:left="1440" w:firstLine="720"/>
        <w:jc w:val="both"/>
        <w:rPr>
          <w:rFonts w:ascii="Arial" w:eastAsia="Times New Roman" w:hAnsi="Arial" w:cs="Arial"/>
          <w:sz w:val="24"/>
          <w:szCs w:val="24"/>
        </w:rPr>
      </w:pPr>
      <w:r w:rsidRPr="00CD1C6A">
        <w:rPr>
          <w:rFonts w:ascii="Arial" w:eastAsia="Times New Roman" w:hAnsi="Arial" w:cs="Arial"/>
          <w:sz w:val="24"/>
          <w:szCs w:val="24"/>
        </w:rPr>
        <w:t>(</w:t>
      </w:r>
      <w:proofErr w:type="spellStart"/>
      <w:proofErr w:type="gramStart"/>
      <w:r w:rsidRPr="00CD1C6A">
        <w:rPr>
          <w:rFonts w:ascii="Arial" w:eastAsia="Times New Roman" w:hAnsi="Arial" w:cs="Arial"/>
          <w:sz w:val="24"/>
          <w:szCs w:val="24"/>
        </w:rPr>
        <w:t>aa</w:t>
      </w:r>
      <w:proofErr w:type="spellEnd"/>
      <w:proofErr w:type="gramEnd"/>
      <w:r w:rsidRPr="00CD1C6A">
        <w:rPr>
          <w:rFonts w:ascii="Arial" w:eastAsia="Times New Roman" w:hAnsi="Arial" w:cs="Arial"/>
          <w:sz w:val="24"/>
          <w:szCs w:val="24"/>
        </w:rPr>
        <w:t>)</w:t>
      </w:r>
      <w:r w:rsidRPr="00CD1C6A">
        <w:rPr>
          <w:rFonts w:ascii="Arial" w:eastAsia="Times New Roman" w:hAnsi="Arial" w:cs="Arial"/>
          <w:sz w:val="24"/>
          <w:szCs w:val="24"/>
        </w:rPr>
        <w:tab/>
        <w:t>a person referred to in section 200(1) of the 2011 Act or</w:t>
      </w:r>
    </w:p>
    <w:p w:rsidR="00E76B9B" w:rsidRDefault="00E76B9B" w:rsidP="00E76B9B">
      <w:pPr>
        <w:spacing w:after="120" w:line="240" w:lineRule="auto"/>
        <w:ind w:left="2880" w:hanging="720"/>
        <w:jc w:val="both"/>
        <w:rPr>
          <w:rFonts w:ascii="Arial" w:eastAsia="Times New Roman" w:hAnsi="Arial" w:cs="Arial"/>
          <w:sz w:val="24"/>
          <w:szCs w:val="24"/>
        </w:rPr>
      </w:pPr>
      <w:r w:rsidRPr="00E76B9B">
        <w:rPr>
          <w:rFonts w:ascii="Arial" w:eastAsia="Times New Roman" w:hAnsi="Arial" w:cs="Arial"/>
          <w:sz w:val="24"/>
          <w:szCs w:val="24"/>
        </w:rPr>
        <w:t>(</w:t>
      </w:r>
      <w:proofErr w:type="gramStart"/>
      <w:r w:rsidRPr="00E76B9B">
        <w:rPr>
          <w:rFonts w:ascii="Arial" w:eastAsia="Times New Roman" w:hAnsi="Arial" w:cs="Arial"/>
          <w:sz w:val="24"/>
          <w:szCs w:val="24"/>
        </w:rPr>
        <w:t>bb</w:t>
      </w:r>
      <w:proofErr w:type="gramEnd"/>
      <w:r w:rsidRPr="00E76B9B">
        <w:rPr>
          <w:rFonts w:ascii="Arial" w:eastAsia="Times New Roman" w:hAnsi="Arial" w:cs="Arial"/>
          <w:sz w:val="24"/>
          <w:szCs w:val="24"/>
        </w:rPr>
        <w:t xml:space="preserve">) </w:t>
      </w:r>
      <w:r>
        <w:rPr>
          <w:rFonts w:ascii="Arial" w:eastAsia="Times New Roman" w:hAnsi="Arial" w:cs="Arial"/>
          <w:sz w:val="24"/>
          <w:szCs w:val="24"/>
        </w:rPr>
        <w:tab/>
      </w:r>
      <w:r w:rsidRPr="00E76B9B">
        <w:rPr>
          <w:rFonts w:ascii="Arial" w:eastAsia="Times New Roman" w:hAnsi="Arial" w:cs="Arial"/>
          <w:sz w:val="24"/>
          <w:szCs w:val="24"/>
        </w:rPr>
        <w:t>a person deemed a relevant person by virtue of section 81(3), 160(4)(b) or 164(6)</w:t>
      </w:r>
      <w:r>
        <w:rPr>
          <w:rFonts w:ascii="Arial" w:eastAsia="Times New Roman" w:hAnsi="Arial" w:cs="Arial"/>
          <w:sz w:val="24"/>
          <w:szCs w:val="24"/>
        </w:rPr>
        <w:t xml:space="preserve"> </w:t>
      </w:r>
      <w:r w:rsidRPr="00E76B9B">
        <w:rPr>
          <w:rFonts w:ascii="Arial" w:eastAsia="Times New Roman" w:hAnsi="Arial" w:cs="Arial"/>
          <w:sz w:val="24"/>
          <w:szCs w:val="24"/>
        </w:rPr>
        <w:t>of the 2011 Act;</w:t>
      </w:r>
    </w:p>
    <w:p w:rsidR="00CC125E" w:rsidRPr="00E76B9B" w:rsidRDefault="00CC125E" w:rsidP="00E76B9B">
      <w:pPr>
        <w:spacing w:after="120" w:line="240" w:lineRule="auto"/>
        <w:ind w:left="1440"/>
        <w:jc w:val="both"/>
        <w:rPr>
          <w:rFonts w:ascii="Arial" w:eastAsia="Times New Roman" w:hAnsi="Arial" w:cs="Arial"/>
          <w:sz w:val="24"/>
          <w:szCs w:val="24"/>
        </w:rPr>
      </w:pPr>
      <w:r w:rsidRPr="00CC125E">
        <w:rPr>
          <w:rFonts w:ascii="Arial" w:eastAsia="Times New Roman" w:hAnsi="Arial" w:cs="Arial"/>
          <w:sz w:val="24"/>
          <w:szCs w:val="24"/>
          <w:lang w:val="en-US"/>
        </w:rPr>
        <w:t>"</w:t>
      </w:r>
      <w:proofErr w:type="gramStart"/>
      <w:r w:rsidRPr="00CC125E">
        <w:rPr>
          <w:rFonts w:ascii="Arial" w:eastAsia="Times New Roman" w:hAnsi="Arial" w:cs="Arial"/>
          <w:sz w:val="24"/>
          <w:szCs w:val="24"/>
          <w:lang w:val="en-US"/>
        </w:rPr>
        <w:t>service</w:t>
      </w:r>
      <w:proofErr w:type="gramEnd"/>
      <w:r w:rsidRPr="00CC125E">
        <w:rPr>
          <w:rFonts w:ascii="Arial" w:eastAsia="Times New Roman" w:hAnsi="Arial" w:cs="Arial"/>
          <w:sz w:val="24"/>
          <w:szCs w:val="24"/>
          <w:lang w:val="en-US"/>
        </w:rPr>
        <w:t>" includes citation, intimation or the giving of notice as required in terms of this Chapter.</w:t>
      </w:r>
    </w:p>
    <w:p w:rsidR="00CC125E" w:rsidRDefault="00CC125E" w:rsidP="00AE581A">
      <w:pPr>
        <w:spacing w:after="120" w:line="240" w:lineRule="auto"/>
        <w:ind w:left="1440" w:hanging="720"/>
        <w:jc w:val="both"/>
        <w:rPr>
          <w:rFonts w:ascii="Arial" w:eastAsia="Times New Roman" w:hAnsi="Arial" w:cs="Arial"/>
          <w:sz w:val="24"/>
          <w:szCs w:val="24"/>
        </w:rPr>
      </w:pPr>
      <w:r w:rsidRPr="00CC125E">
        <w:rPr>
          <w:rFonts w:ascii="Arial" w:eastAsia="Times New Roman" w:hAnsi="Arial" w:cs="Arial"/>
          <w:sz w:val="24"/>
          <w:szCs w:val="24"/>
          <w:lang w:val="en-US"/>
        </w:rPr>
        <w:t>(2)</w:t>
      </w:r>
      <w:r w:rsidRPr="00CC125E">
        <w:rPr>
          <w:rFonts w:ascii="Arial" w:eastAsia="Times New Roman" w:hAnsi="Arial" w:cs="Arial"/>
          <w:sz w:val="24"/>
          <w:szCs w:val="24"/>
          <w:lang w:val="en-US"/>
        </w:rPr>
        <w:tab/>
      </w:r>
      <w:r w:rsidR="00CD1C6A" w:rsidRPr="00CD1C6A">
        <w:rPr>
          <w:rFonts w:ascii="Arial" w:eastAsia="Times New Roman" w:hAnsi="Arial" w:cs="Arial"/>
          <w:sz w:val="24"/>
          <w:szCs w:val="24"/>
        </w:rPr>
        <w:t>In this Chapter any reference, however expressed, to disputed grounds shall be construed as a reference to a statement of grounds which forms the subject of an application under section 93(2)(a) or 94(2)(a) of the 2011 Act.</w:t>
      </w:r>
    </w:p>
    <w:p w:rsidR="00CD1C6A" w:rsidRDefault="00CD1C6A" w:rsidP="00CD1C6A">
      <w:pPr>
        <w:spacing w:after="120" w:line="240" w:lineRule="auto"/>
        <w:ind w:left="1440" w:hanging="720"/>
        <w:jc w:val="both"/>
        <w:rPr>
          <w:rFonts w:ascii="Arial" w:eastAsia="Times New Roman" w:hAnsi="Arial" w:cs="Arial"/>
          <w:sz w:val="24"/>
          <w:szCs w:val="24"/>
        </w:rPr>
      </w:pPr>
      <w:r w:rsidRPr="00CD1C6A">
        <w:rPr>
          <w:rFonts w:ascii="Arial" w:eastAsia="Times New Roman" w:hAnsi="Arial" w:cs="Arial"/>
          <w:sz w:val="24"/>
          <w:szCs w:val="24"/>
        </w:rPr>
        <w:t>(3) </w:t>
      </w:r>
      <w:r>
        <w:rPr>
          <w:rFonts w:ascii="Arial" w:eastAsia="Times New Roman" w:hAnsi="Arial" w:cs="Arial"/>
          <w:sz w:val="24"/>
          <w:szCs w:val="24"/>
        </w:rPr>
        <w:tab/>
      </w:r>
      <w:r w:rsidRPr="00CD1C6A">
        <w:rPr>
          <w:rFonts w:ascii="Arial" w:eastAsia="Times New Roman" w:hAnsi="Arial" w:cs="Arial"/>
          <w:sz w:val="24"/>
          <w:szCs w:val="24"/>
        </w:rPr>
        <w:t xml:space="preserve">Except as otherwise provided, this Chapter applies to applications to the sheriff (including reviews and appeals) under </w:t>
      </w:r>
      <w:r w:rsidR="00E76B9B" w:rsidRPr="00E76B9B">
        <w:rPr>
          <w:rFonts w:ascii="Arial" w:eastAsia="Times New Roman" w:hAnsi="Arial" w:cs="Arial"/>
          <w:sz w:val="24"/>
          <w:szCs w:val="24"/>
          <w:lang w:val="en-US"/>
        </w:rPr>
        <w:t>the 1995 Act, the 2011 Act or section 44A of the CPSA 1995.</w:t>
      </w:r>
      <w:bookmarkStart w:id="1" w:name="_GoBack"/>
      <w:bookmarkEnd w:id="1"/>
    </w:p>
    <w:p w:rsidR="00CD1C6A" w:rsidRPr="00CD1C6A" w:rsidRDefault="00CD1C6A" w:rsidP="00CD1C6A">
      <w:pPr>
        <w:spacing w:after="120" w:line="240" w:lineRule="auto"/>
        <w:ind w:left="1440" w:hanging="720"/>
        <w:jc w:val="both"/>
        <w:rPr>
          <w:rFonts w:ascii="Arial" w:eastAsia="Times New Roman" w:hAnsi="Arial" w:cs="Arial"/>
          <w:sz w:val="24"/>
          <w:szCs w:val="24"/>
        </w:rPr>
      </w:pPr>
      <w:r w:rsidRPr="00CD1C6A">
        <w:rPr>
          <w:rFonts w:ascii="Arial" w:eastAsia="Times New Roman" w:hAnsi="Arial" w:cs="Arial"/>
          <w:sz w:val="24"/>
          <w:szCs w:val="24"/>
        </w:rPr>
        <w:t>(4) </w:t>
      </w:r>
      <w:r>
        <w:rPr>
          <w:rFonts w:ascii="Arial" w:eastAsia="Times New Roman" w:hAnsi="Arial" w:cs="Arial"/>
          <w:sz w:val="24"/>
          <w:szCs w:val="24"/>
        </w:rPr>
        <w:tab/>
      </w:r>
      <w:r w:rsidRPr="00CD1C6A">
        <w:rPr>
          <w:rFonts w:ascii="Arial" w:eastAsia="Times New Roman" w:hAnsi="Arial" w:cs="Arial"/>
          <w:sz w:val="24"/>
          <w:szCs w:val="24"/>
        </w:rPr>
        <w:t>All hearings in respect of applications to the sheriff must be held in private.</w:t>
      </w:r>
    </w:p>
    <w:p w:rsidR="00CD1C6A" w:rsidRPr="00CC125E" w:rsidRDefault="00CD1C6A" w:rsidP="00AE581A">
      <w:pPr>
        <w:spacing w:after="120" w:line="240" w:lineRule="auto"/>
        <w:ind w:left="1440" w:hanging="720"/>
        <w:jc w:val="both"/>
        <w:rPr>
          <w:rFonts w:ascii="Arial" w:eastAsia="Times New Roman" w:hAnsi="Arial" w:cs="Arial"/>
          <w:sz w:val="24"/>
          <w:szCs w:val="24"/>
          <w:lang w:val="en-US"/>
        </w:rPr>
      </w:pPr>
    </w:p>
    <w:p w:rsidR="00CC125E" w:rsidRPr="00CC125E" w:rsidRDefault="00CC125E" w:rsidP="00CC125E">
      <w:pPr>
        <w:spacing w:after="120" w:line="240" w:lineRule="auto"/>
        <w:jc w:val="center"/>
        <w:rPr>
          <w:rFonts w:ascii="Arial" w:eastAsia="Times New Roman" w:hAnsi="Arial" w:cs="Arial"/>
          <w:sz w:val="24"/>
          <w:szCs w:val="24"/>
          <w:lang w:val="en-US"/>
        </w:rPr>
      </w:pPr>
      <w:r w:rsidRPr="00CC125E">
        <w:rPr>
          <w:rFonts w:ascii="Arial" w:eastAsia="Times New Roman" w:hAnsi="Arial" w:cs="Arial"/>
          <w:sz w:val="24"/>
          <w:szCs w:val="24"/>
          <w:lang w:val="en-US"/>
        </w:rPr>
        <w:lastRenderedPageBreak/>
        <w:br/>
      </w:r>
    </w:p>
    <w:p w:rsidR="0025192D" w:rsidRDefault="00E76B9B"/>
    <w:sectPr w:rsidR="002519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F241C"/>
    <w:multiLevelType w:val="multilevel"/>
    <w:tmpl w:val="585AD398"/>
    <w:lvl w:ilvl="0">
      <w:start w:val="3"/>
      <w:numFmt w:val="decimal"/>
      <w:lvlText w:val="%1"/>
      <w:lvlJc w:val="left"/>
      <w:pPr>
        <w:tabs>
          <w:tab w:val="num" w:pos="465"/>
        </w:tabs>
        <w:ind w:left="465" w:hanging="465"/>
      </w:pPr>
    </w:lvl>
    <w:lvl w:ilvl="1">
      <w:start w:val="42"/>
      <w:numFmt w:val="decimal"/>
      <w:lvlText w:val="%1.%2"/>
      <w:lvlJc w:val="left"/>
      <w:pPr>
        <w:tabs>
          <w:tab w:val="num" w:pos="465"/>
        </w:tabs>
        <w:ind w:left="465" w:hanging="46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num w:numId="1">
    <w:abstractNumId w:val="0"/>
  </w:num>
  <w:num w:numId="2">
    <w:abstractNumId w:val="0"/>
    <w:lvlOverride w:ilvl="0">
      <w:startOverride w:val="3"/>
    </w:lvlOverride>
    <w:lvlOverride w:ilvl="1">
      <w:startOverride w:val="4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4C21"/>
    <w:rsid w:val="002532DF"/>
    <w:rsid w:val="00355A4E"/>
    <w:rsid w:val="00444C21"/>
    <w:rsid w:val="00570EF0"/>
    <w:rsid w:val="006373C7"/>
    <w:rsid w:val="00771141"/>
    <w:rsid w:val="0098145C"/>
    <w:rsid w:val="00AE581A"/>
    <w:rsid w:val="00CC125E"/>
    <w:rsid w:val="00CD1C6A"/>
    <w:rsid w:val="00CF5BB8"/>
    <w:rsid w:val="00D5183A"/>
    <w:rsid w:val="00E76B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CC125E"/>
  </w:style>
  <w:style w:type="character" w:styleId="Hyperlink">
    <w:name w:val="Hyperlink"/>
    <w:unhideWhenUsed/>
    <w:rsid w:val="00CC125E"/>
    <w:rPr>
      <w:color w:val="0000FF"/>
      <w:u w:val="single"/>
    </w:rPr>
  </w:style>
  <w:style w:type="character" w:styleId="FollowedHyperlink">
    <w:name w:val="FollowedHyperlink"/>
    <w:semiHidden/>
    <w:unhideWhenUsed/>
    <w:rsid w:val="00CC125E"/>
    <w:rPr>
      <w:color w:val="800080"/>
      <w:u w:val="single"/>
    </w:rPr>
  </w:style>
  <w:style w:type="paragraph" w:styleId="NormalWeb">
    <w:name w:val="Normal (Web)"/>
    <w:basedOn w:val="Normal"/>
    <w:semiHidden/>
    <w:unhideWhenUsed/>
    <w:rsid w:val="00CC125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rsid w:val="00CC125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198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dc:creator>
  <cp:lastModifiedBy>imarshall</cp:lastModifiedBy>
  <cp:revision>11</cp:revision>
  <dcterms:created xsi:type="dcterms:W3CDTF">2012-08-29T10:03:00Z</dcterms:created>
  <dcterms:modified xsi:type="dcterms:W3CDTF">2015-12-16T10:34:00Z</dcterms:modified>
</cp:coreProperties>
</file>