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3C" w:rsidRPr="00073D3C" w:rsidRDefault="00073D3C" w:rsidP="00073D3C">
      <w:pPr>
        <w:pStyle w:val="NormalWeb"/>
        <w:spacing w:before="0" w:beforeAutospacing="0" w:after="240" w:afterAutospacing="0" w:line="276" w:lineRule="auto"/>
        <w:jc w:val="center"/>
        <w:rPr>
          <w:rFonts w:ascii="Arial" w:hAnsi="Arial" w:cs="Arial"/>
          <w:b/>
        </w:rPr>
      </w:pPr>
      <w:r w:rsidRPr="00073D3C">
        <w:rPr>
          <w:rFonts w:ascii="Arial" w:hAnsi="Arial" w:cs="Arial"/>
          <w:b/>
        </w:rPr>
        <w:t xml:space="preserve">ACT OF ADJOURNAL (CRIMINAL PROCEDURE RULES) 1996 SI 2019/330 </w:t>
      </w:r>
    </w:p>
    <w:p w:rsidR="00073D3C" w:rsidRPr="00073D3C" w:rsidRDefault="00073D3C" w:rsidP="00073D3C">
      <w:pPr>
        <w:spacing w:after="240" w:line="276" w:lineRule="auto"/>
        <w:jc w:val="center"/>
        <w:rPr>
          <w:rFonts w:cs="Arial"/>
          <w:b/>
          <w:sz w:val="24"/>
          <w:szCs w:val="24"/>
        </w:rPr>
      </w:pPr>
      <w:r w:rsidRPr="00073D3C">
        <w:rPr>
          <w:rFonts w:cs="Arial"/>
          <w:b/>
          <w:sz w:val="24"/>
          <w:szCs w:val="24"/>
        </w:rPr>
        <w:t>SCHEDULE 2</w:t>
      </w:r>
    </w:p>
    <w:p w:rsidR="00073D3C" w:rsidRPr="00073D3C" w:rsidRDefault="00073D3C" w:rsidP="00073D3C">
      <w:pPr>
        <w:spacing w:after="240" w:line="276" w:lineRule="auto"/>
        <w:jc w:val="center"/>
        <w:rPr>
          <w:rFonts w:cs="Arial"/>
          <w:b/>
          <w:sz w:val="24"/>
          <w:szCs w:val="24"/>
        </w:rPr>
      </w:pPr>
      <w:r w:rsidRPr="00073D3C">
        <w:rPr>
          <w:rFonts w:cs="Arial"/>
          <w:b/>
          <w:sz w:val="24"/>
          <w:szCs w:val="24"/>
        </w:rPr>
        <w:t>CRIMINAL PROCEDURE RULES 1996</w:t>
      </w:r>
    </w:p>
    <w:p w:rsidR="00073D3C" w:rsidRPr="00073D3C" w:rsidRDefault="00073D3C" w:rsidP="00073D3C">
      <w:pPr>
        <w:pStyle w:val="BodyText"/>
        <w:tabs>
          <w:tab w:val="clear" w:pos="785"/>
          <w:tab w:val="clear" w:pos="8007"/>
        </w:tabs>
        <w:spacing w:after="360" w:line="276" w:lineRule="auto"/>
        <w:jc w:val="center"/>
        <w:rPr>
          <w:rFonts w:ascii="Arial" w:hAnsi="Arial" w:cs="Arial"/>
          <w:b/>
          <w:i/>
          <w:iCs/>
          <w:color w:val="FFFFFF"/>
        </w:rPr>
      </w:pPr>
      <w:r w:rsidRPr="00073D3C">
        <w:rPr>
          <w:rFonts w:ascii="Arial" w:hAnsi="Arial" w:cs="Arial"/>
          <w:b/>
          <w:i/>
          <w:color w:val="FFFFFF"/>
          <w:highlight w:val="darkGray"/>
        </w:rPr>
        <w:t xml:space="preserve">PART </w:t>
      </w:r>
      <w:smartTag w:uri="urn:schemas-microsoft-com:office:smarttags" w:element="stockticker">
        <w:r w:rsidRPr="00073D3C">
          <w:rPr>
            <w:rFonts w:ascii="Arial" w:hAnsi="Arial" w:cs="Arial"/>
            <w:b/>
            <w:i/>
            <w:color w:val="FFFFFF"/>
            <w:highlight w:val="darkGray"/>
          </w:rPr>
          <w:t>VII</w:t>
        </w:r>
      </w:smartTag>
      <w:r w:rsidRPr="00073D3C">
        <w:rPr>
          <w:rFonts w:ascii="Arial" w:hAnsi="Arial" w:cs="Arial"/>
          <w:b/>
          <w:i/>
          <w:color w:val="FFFFFF"/>
          <w:highlight w:val="darkGray"/>
        </w:rPr>
        <w:t xml:space="preserve"> </w:t>
      </w:r>
      <w:r w:rsidRPr="00073D3C">
        <w:rPr>
          <w:rFonts w:ascii="Arial" w:hAnsi="Arial" w:cs="Arial"/>
          <w:b/>
          <w:i/>
          <w:iCs/>
          <w:color w:val="FFFFFF"/>
          <w:highlight w:val="darkGray"/>
        </w:rPr>
        <w:t>Miscellaneous procedures</w:t>
      </w:r>
    </w:p>
    <w:p w:rsidR="00073D3C" w:rsidRPr="00073D3C" w:rsidRDefault="00073D3C" w:rsidP="00073D3C">
      <w:pPr>
        <w:jc w:val="center"/>
        <w:rPr>
          <w:rFonts w:cs="Arial"/>
          <w:b/>
          <w:sz w:val="24"/>
          <w:szCs w:val="24"/>
        </w:rPr>
      </w:pPr>
      <w:r w:rsidRPr="00073D3C">
        <w:rPr>
          <w:rFonts w:cs="Arial"/>
          <w:b/>
          <w:sz w:val="24"/>
          <w:szCs w:val="24"/>
        </w:rPr>
        <w:t>CHAPTER 72</w:t>
      </w:r>
    </w:p>
    <w:p w:rsidR="00073D3C" w:rsidRPr="00073D3C" w:rsidRDefault="00073D3C" w:rsidP="00073D3C">
      <w:pPr>
        <w:jc w:val="center"/>
        <w:rPr>
          <w:rFonts w:cs="Arial"/>
          <w:b/>
          <w:sz w:val="24"/>
          <w:szCs w:val="24"/>
        </w:rPr>
      </w:pPr>
    </w:p>
    <w:p w:rsidR="00073D3C" w:rsidRDefault="00073D3C" w:rsidP="00073D3C">
      <w:pPr>
        <w:jc w:val="center"/>
        <w:rPr>
          <w:rFonts w:cs="Arial"/>
          <w:b/>
          <w:sz w:val="24"/>
          <w:szCs w:val="24"/>
        </w:rPr>
      </w:pPr>
      <w:r w:rsidRPr="00073D3C">
        <w:rPr>
          <w:rFonts w:cs="Arial"/>
          <w:b/>
          <w:sz w:val="24"/>
          <w:szCs w:val="24"/>
        </w:rPr>
        <w:t>OVERSEAS PRODUCTION ORDERS</w:t>
      </w:r>
    </w:p>
    <w:p w:rsidR="00073D3C" w:rsidRDefault="00073D3C" w:rsidP="00073D3C">
      <w:pPr>
        <w:jc w:val="center"/>
        <w:rPr>
          <w:rFonts w:cs="Arial"/>
          <w:b/>
          <w:sz w:val="24"/>
          <w:szCs w:val="24"/>
        </w:rPr>
      </w:pPr>
    </w:p>
    <w:p w:rsidR="00073D3C" w:rsidRDefault="00073D3C" w:rsidP="00073D3C">
      <w:pPr>
        <w:rPr>
          <w:rFonts w:cs="Arial"/>
          <w:b/>
          <w:sz w:val="24"/>
          <w:szCs w:val="24"/>
        </w:rPr>
      </w:pPr>
      <w:r>
        <w:rPr>
          <w:rFonts w:cs="Arial"/>
          <w:b/>
          <w:sz w:val="24"/>
          <w:szCs w:val="24"/>
        </w:rPr>
        <w:t>72.1</w:t>
      </w:r>
      <w:r>
        <w:rPr>
          <w:rFonts w:cs="Arial"/>
          <w:b/>
          <w:sz w:val="24"/>
          <w:szCs w:val="24"/>
        </w:rPr>
        <w:tab/>
      </w:r>
      <w:hyperlink w:anchor="inter" w:history="1">
        <w:r w:rsidRPr="00D67AA1">
          <w:rPr>
            <w:rStyle w:val="Hyperlink"/>
            <w:rFonts w:cs="Arial"/>
            <w:b/>
            <w:color w:val="0000FF"/>
            <w:sz w:val="24"/>
            <w:szCs w:val="24"/>
          </w:rPr>
          <w:t>Interpretation of this Chapter</w:t>
        </w:r>
      </w:hyperlink>
    </w:p>
    <w:p w:rsidR="00073D3C" w:rsidRDefault="00073D3C" w:rsidP="00073D3C">
      <w:pPr>
        <w:rPr>
          <w:rFonts w:cs="Arial"/>
          <w:b/>
          <w:sz w:val="24"/>
          <w:szCs w:val="24"/>
        </w:rPr>
      </w:pPr>
    </w:p>
    <w:p w:rsidR="00073D3C" w:rsidRDefault="00073D3C" w:rsidP="00073D3C">
      <w:pPr>
        <w:rPr>
          <w:rFonts w:cs="Arial"/>
          <w:b/>
          <w:sz w:val="24"/>
          <w:szCs w:val="24"/>
        </w:rPr>
      </w:pPr>
      <w:r>
        <w:rPr>
          <w:rFonts w:cs="Arial"/>
          <w:b/>
          <w:sz w:val="24"/>
          <w:szCs w:val="24"/>
        </w:rPr>
        <w:t>72.2</w:t>
      </w:r>
      <w:r>
        <w:rPr>
          <w:rFonts w:cs="Arial"/>
          <w:b/>
          <w:sz w:val="24"/>
          <w:szCs w:val="24"/>
        </w:rPr>
        <w:tab/>
      </w:r>
      <w:hyperlink w:anchor="appopo" w:history="1">
        <w:r w:rsidRPr="00D67AA1">
          <w:rPr>
            <w:rStyle w:val="Hyperlink"/>
            <w:rFonts w:cs="Arial"/>
            <w:b/>
            <w:color w:val="0000FF"/>
            <w:sz w:val="24"/>
            <w:szCs w:val="24"/>
          </w:rPr>
          <w:t>Application for an overseas production order</w:t>
        </w:r>
      </w:hyperlink>
    </w:p>
    <w:p w:rsidR="00073D3C" w:rsidRDefault="00073D3C" w:rsidP="00073D3C">
      <w:pPr>
        <w:rPr>
          <w:rFonts w:cs="Arial"/>
          <w:b/>
          <w:sz w:val="24"/>
          <w:szCs w:val="24"/>
        </w:rPr>
      </w:pPr>
    </w:p>
    <w:p w:rsidR="00073D3C" w:rsidRDefault="00073D3C" w:rsidP="00073D3C">
      <w:pPr>
        <w:ind w:left="720" w:hanging="720"/>
        <w:rPr>
          <w:rFonts w:cs="Arial"/>
          <w:b/>
          <w:sz w:val="24"/>
          <w:szCs w:val="24"/>
        </w:rPr>
      </w:pPr>
      <w:r>
        <w:rPr>
          <w:rFonts w:cs="Arial"/>
          <w:b/>
          <w:sz w:val="24"/>
          <w:szCs w:val="24"/>
        </w:rPr>
        <w:t>72.3</w:t>
      </w:r>
      <w:r>
        <w:rPr>
          <w:rFonts w:cs="Arial"/>
          <w:b/>
          <w:sz w:val="24"/>
          <w:szCs w:val="24"/>
        </w:rPr>
        <w:tab/>
      </w:r>
      <w:hyperlink w:anchor="disapp" w:history="1">
        <w:r w:rsidRPr="00D67AA1">
          <w:rPr>
            <w:rStyle w:val="Hyperlink"/>
            <w:rFonts w:cs="Arial"/>
            <w:b/>
            <w:color w:val="0000FF"/>
            <w:sz w:val="24"/>
            <w:szCs w:val="24"/>
          </w:rPr>
          <w:t>Disapplication of effects of notice of application or a non-disclosure requirement</w:t>
        </w:r>
      </w:hyperlink>
    </w:p>
    <w:p w:rsidR="00073D3C" w:rsidRDefault="00073D3C" w:rsidP="00073D3C">
      <w:pPr>
        <w:rPr>
          <w:rFonts w:cs="Arial"/>
          <w:b/>
          <w:sz w:val="24"/>
          <w:szCs w:val="24"/>
        </w:rPr>
      </w:pPr>
    </w:p>
    <w:p w:rsidR="00073D3C" w:rsidRDefault="00073D3C" w:rsidP="00073D3C">
      <w:pPr>
        <w:rPr>
          <w:rFonts w:cs="Arial"/>
          <w:b/>
          <w:sz w:val="24"/>
          <w:szCs w:val="24"/>
        </w:rPr>
      </w:pPr>
      <w:r>
        <w:rPr>
          <w:rFonts w:cs="Arial"/>
          <w:b/>
          <w:sz w:val="24"/>
          <w:szCs w:val="24"/>
        </w:rPr>
        <w:t>72.4</w:t>
      </w:r>
      <w:r>
        <w:rPr>
          <w:rFonts w:cs="Arial"/>
          <w:b/>
          <w:sz w:val="24"/>
          <w:szCs w:val="24"/>
        </w:rPr>
        <w:tab/>
      </w:r>
      <w:hyperlink w:anchor="variation" w:history="1">
        <w:r w:rsidRPr="00D67AA1">
          <w:rPr>
            <w:rStyle w:val="Hyperlink"/>
            <w:rFonts w:cs="Arial"/>
            <w:b/>
            <w:color w:val="0000FF"/>
            <w:sz w:val="24"/>
            <w:szCs w:val="24"/>
          </w:rPr>
          <w:t>Variation or revocation of an overseas production order</w:t>
        </w:r>
      </w:hyperlink>
    </w:p>
    <w:p w:rsidR="00073D3C" w:rsidRDefault="00073D3C" w:rsidP="00073D3C">
      <w:pPr>
        <w:rPr>
          <w:rFonts w:cs="Arial"/>
          <w:b/>
          <w:sz w:val="24"/>
          <w:szCs w:val="24"/>
        </w:rPr>
      </w:pPr>
    </w:p>
    <w:p w:rsidR="00073D3C" w:rsidRPr="00073D3C" w:rsidRDefault="00073D3C" w:rsidP="00073D3C">
      <w:pPr>
        <w:jc w:val="center"/>
        <w:rPr>
          <w:rFonts w:cs="Arial"/>
          <w:b/>
          <w:sz w:val="24"/>
          <w:szCs w:val="24"/>
        </w:rPr>
      </w:pPr>
    </w:p>
    <w:p w:rsidR="00073D3C" w:rsidRPr="00073D3C" w:rsidRDefault="00073D3C" w:rsidP="00073D3C">
      <w:pPr>
        <w:rPr>
          <w:rFonts w:cs="Arial"/>
          <w:b/>
          <w:sz w:val="24"/>
          <w:szCs w:val="24"/>
        </w:rPr>
      </w:pPr>
      <w:bookmarkStart w:id="0" w:name="inter"/>
      <w:r w:rsidRPr="00073D3C">
        <w:rPr>
          <w:rFonts w:cs="Arial"/>
          <w:b/>
          <w:sz w:val="24"/>
          <w:szCs w:val="24"/>
        </w:rPr>
        <w:t xml:space="preserve">Interpretation of this Chapter </w:t>
      </w:r>
    </w:p>
    <w:bookmarkEnd w:id="0"/>
    <w:p w:rsidR="00073D3C" w:rsidRPr="00073D3C" w:rsidRDefault="00073D3C" w:rsidP="00073D3C">
      <w:pPr>
        <w:rPr>
          <w:rFonts w:cs="Arial"/>
          <w:sz w:val="24"/>
          <w:szCs w:val="24"/>
        </w:rPr>
      </w:pPr>
    </w:p>
    <w:p w:rsidR="00073D3C" w:rsidRPr="00073D3C" w:rsidRDefault="00073D3C" w:rsidP="00073D3C">
      <w:pPr>
        <w:rPr>
          <w:rFonts w:cs="Arial"/>
          <w:sz w:val="24"/>
          <w:szCs w:val="24"/>
        </w:rPr>
      </w:pPr>
      <w:r w:rsidRPr="00D67AA1">
        <w:rPr>
          <w:rFonts w:cs="Arial"/>
          <w:b/>
          <w:sz w:val="24"/>
          <w:szCs w:val="24"/>
        </w:rPr>
        <w:t>72.1.</w:t>
      </w:r>
      <w:r w:rsidR="00D67AA1">
        <w:rPr>
          <w:rFonts w:cs="Arial"/>
          <w:b/>
          <w:sz w:val="24"/>
          <w:szCs w:val="24"/>
        </w:rPr>
        <w:tab/>
      </w:r>
      <w:r w:rsidRPr="00073D3C">
        <w:rPr>
          <w:rFonts w:cs="Arial"/>
          <w:sz w:val="24"/>
          <w:szCs w:val="24"/>
        </w:rPr>
        <w:t xml:space="preserve">In this Chapter— </w:t>
      </w:r>
    </w:p>
    <w:p w:rsidR="00073D3C" w:rsidRPr="00073D3C" w:rsidRDefault="00073D3C" w:rsidP="00D67AA1">
      <w:pPr>
        <w:ind w:left="720"/>
        <w:rPr>
          <w:rFonts w:cs="Arial"/>
          <w:sz w:val="24"/>
          <w:szCs w:val="24"/>
        </w:rPr>
      </w:pPr>
      <w:r w:rsidRPr="00073D3C">
        <w:rPr>
          <w:rFonts w:cs="Arial"/>
          <w:sz w:val="24"/>
          <w:szCs w:val="24"/>
        </w:rPr>
        <w:t>“the 2019 Act” means the Crime (Overseas Production Orders) Act 2019</w:t>
      </w:r>
      <w:r w:rsidR="008C00D3">
        <w:rPr>
          <w:rFonts w:cs="Arial"/>
          <w:sz w:val="24"/>
          <w:szCs w:val="24"/>
        </w:rPr>
        <w:t xml:space="preserve"> </w:t>
      </w:r>
      <w:r w:rsidRPr="00073D3C">
        <w:rPr>
          <w:rFonts w:cs="Arial"/>
          <w:sz w:val="24"/>
          <w:szCs w:val="24"/>
        </w:rPr>
        <w:t xml:space="preserve">and references to terms defined in section 18(1) of that Act (interpretation) have the same meaning here as given there; </w:t>
      </w:r>
    </w:p>
    <w:p w:rsidR="00D67AA1" w:rsidRDefault="00D67AA1" w:rsidP="00073D3C">
      <w:pPr>
        <w:rPr>
          <w:rFonts w:cs="Arial"/>
          <w:sz w:val="24"/>
          <w:szCs w:val="24"/>
        </w:rPr>
      </w:pPr>
    </w:p>
    <w:p w:rsidR="00073D3C" w:rsidRPr="00073D3C" w:rsidRDefault="00073D3C" w:rsidP="00D67AA1">
      <w:pPr>
        <w:ind w:left="720"/>
        <w:rPr>
          <w:rFonts w:cs="Arial"/>
          <w:sz w:val="24"/>
          <w:szCs w:val="24"/>
        </w:rPr>
      </w:pPr>
      <w:r w:rsidRPr="00073D3C">
        <w:rPr>
          <w:rFonts w:cs="Arial"/>
          <w:sz w:val="24"/>
          <w:szCs w:val="24"/>
        </w:rPr>
        <w:t xml:space="preserve">“any person affected by the order” includes, where section 12 of the 2019 Act (notice of application for order: journalistic data) applies, those mentioned in section 12(3) other than those whom a judge has directed that notice need not be served on under section 12(4) of that Act; </w:t>
      </w:r>
    </w:p>
    <w:p w:rsidR="00D67AA1" w:rsidRDefault="00D67AA1" w:rsidP="00073D3C">
      <w:pPr>
        <w:rPr>
          <w:rFonts w:cs="Arial"/>
          <w:sz w:val="24"/>
          <w:szCs w:val="24"/>
        </w:rPr>
      </w:pPr>
    </w:p>
    <w:p w:rsidR="00073D3C" w:rsidRPr="00073D3C" w:rsidRDefault="00073D3C" w:rsidP="00D67AA1">
      <w:pPr>
        <w:ind w:left="720"/>
        <w:rPr>
          <w:rFonts w:cs="Arial"/>
          <w:sz w:val="24"/>
          <w:szCs w:val="24"/>
        </w:rPr>
      </w:pPr>
      <w:r w:rsidRPr="00073D3C">
        <w:rPr>
          <w:rFonts w:cs="Arial"/>
          <w:sz w:val="24"/>
          <w:szCs w:val="24"/>
        </w:rPr>
        <w:t xml:space="preserve">“equivalent appropriate officer” has the meaning given by section 7(7) of the 2019 Act (equivalent appropriate officer for variation or revocation of order); </w:t>
      </w:r>
    </w:p>
    <w:p w:rsidR="00D67AA1" w:rsidRDefault="00D67AA1" w:rsidP="00073D3C">
      <w:pPr>
        <w:rPr>
          <w:rFonts w:cs="Arial"/>
          <w:sz w:val="24"/>
          <w:szCs w:val="24"/>
        </w:rPr>
      </w:pPr>
    </w:p>
    <w:p w:rsidR="00073D3C" w:rsidRPr="00073D3C" w:rsidRDefault="00073D3C" w:rsidP="00D67AA1">
      <w:pPr>
        <w:ind w:firstLine="720"/>
        <w:rPr>
          <w:rFonts w:cs="Arial"/>
          <w:sz w:val="24"/>
          <w:szCs w:val="24"/>
        </w:rPr>
      </w:pPr>
      <w:r w:rsidRPr="00073D3C">
        <w:rPr>
          <w:rFonts w:cs="Arial"/>
          <w:sz w:val="24"/>
          <w:szCs w:val="24"/>
        </w:rPr>
        <w:t xml:space="preserve">“journalistic data” has the meaning given by section 12 of the 2019 Act; </w:t>
      </w:r>
    </w:p>
    <w:p w:rsidR="00D67AA1" w:rsidRDefault="00D67AA1" w:rsidP="00D67AA1">
      <w:pPr>
        <w:ind w:left="720"/>
        <w:rPr>
          <w:rFonts w:cs="Arial"/>
          <w:sz w:val="24"/>
          <w:szCs w:val="24"/>
        </w:rPr>
      </w:pPr>
    </w:p>
    <w:p w:rsidR="00073D3C" w:rsidRDefault="00073D3C" w:rsidP="00D67AA1">
      <w:pPr>
        <w:ind w:left="720"/>
        <w:rPr>
          <w:rFonts w:cs="Arial"/>
          <w:sz w:val="24"/>
          <w:szCs w:val="24"/>
        </w:rPr>
      </w:pPr>
      <w:r w:rsidRPr="00073D3C">
        <w:rPr>
          <w:rFonts w:cs="Arial"/>
          <w:sz w:val="24"/>
          <w:szCs w:val="24"/>
        </w:rPr>
        <w:t>“relevant persons” means the persons who may apply for variation or revocation of an</w:t>
      </w:r>
      <w:r w:rsidR="00D67AA1">
        <w:rPr>
          <w:rFonts w:cs="Arial"/>
          <w:sz w:val="24"/>
          <w:szCs w:val="24"/>
        </w:rPr>
        <w:t xml:space="preserve"> </w:t>
      </w:r>
      <w:r w:rsidRPr="00073D3C">
        <w:rPr>
          <w:rFonts w:cs="Arial"/>
          <w:sz w:val="24"/>
          <w:szCs w:val="24"/>
        </w:rPr>
        <w:t xml:space="preserve">overseas production order under section 7(2)(b) and (d) of the 2019 Act (applicants for variation or revocation of order). </w:t>
      </w:r>
    </w:p>
    <w:p w:rsidR="00073D3C" w:rsidRPr="00073D3C" w:rsidRDefault="00073D3C" w:rsidP="00073D3C">
      <w:pPr>
        <w:rPr>
          <w:rFonts w:cs="Arial"/>
          <w:sz w:val="24"/>
          <w:szCs w:val="24"/>
        </w:rPr>
      </w:pPr>
    </w:p>
    <w:p w:rsidR="00073D3C" w:rsidRPr="00073D3C" w:rsidRDefault="00073D3C" w:rsidP="00073D3C">
      <w:pPr>
        <w:rPr>
          <w:rFonts w:cs="Arial"/>
          <w:b/>
          <w:sz w:val="24"/>
          <w:szCs w:val="24"/>
        </w:rPr>
      </w:pPr>
      <w:bookmarkStart w:id="1" w:name="appopo"/>
      <w:r w:rsidRPr="00073D3C">
        <w:rPr>
          <w:rFonts w:cs="Arial"/>
          <w:b/>
          <w:sz w:val="24"/>
          <w:szCs w:val="24"/>
        </w:rPr>
        <w:t xml:space="preserve">Application for an overseas production order </w:t>
      </w:r>
    </w:p>
    <w:bookmarkEnd w:id="1"/>
    <w:p w:rsidR="00073D3C" w:rsidRDefault="00073D3C" w:rsidP="00073D3C">
      <w:pPr>
        <w:rPr>
          <w:rFonts w:cs="Arial"/>
          <w:sz w:val="24"/>
          <w:szCs w:val="24"/>
        </w:rPr>
      </w:pPr>
    </w:p>
    <w:p w:rsidR="00073D3C" w:rsidRPr="00073D3C" w:rsidRDefault="00073D3C" w:rsidP="00073D3C">
      <w:pPr>
        <w:rPr>
          <w:rFonts w:cs="Arial"/>
          <w:sz w:val="24"/>
          <w:szCs w:val="24"/>
        </w:rPr>
      </w:pPr>
      <w:r w:rsidRPr="00D67AA1">
        <w:rPr>
          <w:rFonts w:cs="Arial"/>
          <w:b/>
          <w:sz w:val="24"/>
          <w:szCs w:val="24"/>
        </w:rPr>
        <w:t>72.2.</w:t>
      </w:r>
      <w:r w:rsidR="00D67AA1">
        <w:rPr>
          <w:rFonts w:cs="Arial"/>
          <w:sz w:val="24"/>
          <w:szCs w:val="24"/>
        </w:rPr>
        <w:tab/>
        <w:t>(</w:t>
      </w:r>
      <w:r w:rsidRPr="00073D3C">
        <w:rPr>
          <w:rFonts w:cs="Arial"/>
          <w:sz w:val="24"/>
          <w:szCs w:val="24"/>
        </w:rPr>
        <w:t xml:space="preserve">1) An application under section 1 of the 2019 Act (making of overseas </w:t>
      </w:r>
    </w:p>
    <w:p w:rsidR="00073D3C" w:rsidRPr="00073D3C" w:rsidRDefault="00073D3C" w:rsidP="00D67AA1">
      <w:pPr>
        <w:ind w:firstLine="720"/>
        <w:rPr>
          <w:rFonts w:cs="Arial"/>
          <w:sz w:val="24"/>
          <w:szCs w:val="24"/>
        </w:rPr>
      </w:pPr>
      <w:r w:rsidRPr="00073D3C">
        <w:rPr>
          <w:rFonts w:cs="Arial"/>
          <w:sz w:val="24"/>
          <w:szCs w:val="24"/>
        </w:rPr>
        <w:t xml:space="preserve">production order on application) must be made in Form 72.2. </w:t>
      </w:r>
    </w:p>
    <w:p w:rsidR="00D67AA1" w:rsidRDefault="00D67AA1" w:rsidP="00D67AA1">
      <w:pPr>
        <w:ind w:firstLine="720"/>
        <w:rPr>
          <w:rFonts w:cs="Arial"/>
          <w:sz w:val="24"/>
          <w:szCs w:val="24"/>
        </w:rPr>
      </w:pPr>
    </w:p>
    <w:p w:rsidR="00073D3C" w:rsidRPr="00073D3C" w:rsidRDefault="00073D3C" w:rsidP="00D67AA1">
      <w:pPr>
        <w:ind w:firstLine="720"/>
        <w:rPr>
          <w:rFonts w:cs="Arial"/>
          <w:sz w:val="24"/>
          <w:szCs w:val="24"/>
        </w:rPr>
      </w:pPr>
      <w:r w:rsidRPr="00073D3C">
        <w:rPr>
          <w:rFonts w:cs="Arial"/>
          <w:sz w:val="24"/>
          <w:szCs w:val="24"/>
        </w:rPr>
        <w:t xml:space="preserve">(2) When an application under paragraph (1) is lodged, the court may— </w:t>
      </w:r>
    </w:p>
    <w:p w:rsidR="00073D3C" w:rsidRPr="00073D3C" w:rsidRDefault="00073D3C" w:rsidP="00D67AA1">
      <w:pPr>
        <w:ind w:left="1440"/>
        <w:rPr>
          <w:rFonts w:cs="Arial"/>
          <w:sz w:val="24"/>
          <w:szCs w:val="24"/>
        </w:rPr>
      </w:pPr>
      <w:r w:rsidRPr="00073D3C">
        <w:rPr>
          <w:rFonts w:cs="Arial"/>
          <w:sz w:val="24"/>
          <w:szCs w:val="24"/>
        </w:rPr>
        <w:lastRenderedPageBreak/>
        <w:t xml:space="preserve">(a) subject to section 12 of the 2019 Act dispense, on cause shown, with intimation to any other person and proceed to consider the application; </w:t>
      </w:r>
    </w:p>
    <w:p w:rsidR="00D67AA1" w:rsidRDefault="00D67AA1" w:rsidP="00073D3C">
      <w:pPr>
        <w:rPr>
          <w:rFonts w:cs="Arial"/>
          <w:sz w:val="24"/>
          <w:szCs w:val="24"/>
        </w:rPr>
      </w:pPr>
    </w:p>
    <w:p w:rsidR="00073D3C" w:rsidRPr="00073D3C" w:rsidRDefault="00073D3C" w:rsidP="00D67AA1">
      <w:pPr>
        <w:ind w:left="1440"/>
        <w:rPr>
          <w:rFonts w:cs="Arial"/>
          <w:sz w:val="24"/>
          <w:szCs w:val="24"/>
        </w:rPr>
      </w:pPr>
      <w:r w:rsidRPr="00073D3C">
        <w:rPr>
          <w:rFonts w:cs="Arial"/>
          <w:sz w:val="24"/>
          <w:szCs w:val="24"/>
        </w:rPr>
        <w:t xml:space="preserve">(b) fix a date for hearing the application and, subject to section 12(4) of the 2019 Act (judicial direction that application need not be served), order intimation of the diet </w:t>
      </w:r>
      <w:r w:rsidR="00D67AA1">
        <w:rPr>
          <w:rFonts w:cs="Arial"/>
          <w:sz w:val="24"/>
          <w:szCs w:val="24"/>
        </w:rPr>
        <w:t>and application to:</w:t>
      </w:r>
      <w:r w:rsidRPr="00073D3C">
        <w:rPr>
          <w:rFonts w:cs="Arial"/>
          <w:sz w:val="24"/>
          <w:szCs w:val="24"/>
        </w:rPr>
        <w:t xml:space="preserve"> </w:t>
      </w:r>
    </w:p>
    <w:p w:rsidR="00D67AA1" w:rsidRDefault="00D67AA1" w:rsidP="00073D3C">
      <w:pPr>
        <w:rPr>
          <w:rFonts w:cs="Arial"/>
          <w:sz w:val="24"/>
          <w:szCs w:val="24"/>
        </w:rPr>
      </w:pPr>
    </w:p>
    <w:p w:rsidR="00D67AA1" w:rsidRDefault="00073D3C" w:rsidP="00D67AA1">
      <w:pPr>
        <w:ind w:left="1440"/>
        <w:rPr>
          <w:rFonts w:cs="Arial"/>
          <w:sz w:val="24"/>
          <w:szCs w:val="24"/>
        </w:rPr>
      </w:pPr>
      <w:r w:rsidRPr="00073D3C">
        <w:rPr>
          <w:rFonts w:cs="Arial"/>
          <w:sz w:val="24"/>
          <w:szCs w:val="24"/>
        </w:rPr>
        <w:t xml:space="preserve">(i) the person against whom the overseas production order is sought; </w:t>
      </w:r>
    </w:p>
    <w:p w:rsidR="00D67AA1" w:rsidRDefault="00D67AA1" w:rsidP="00D67AA1">
      <w:pPr>
        <w:ind w:left="1440"/>
        <w:rPr>
          <w:rFonts w:cs="Arial"/>
          <w:sz w:val="24"/>
          <w:szCs w:val="24"/>
        </w:rPr>
      </w:pPr>
    </w:p>
    <w:p w:rsidR="00073D3C" w:rsidRDefault="00073D3C" w:rsidP="00D67AA1">
      <w:pPr>
        <w:ind w:left="1440"/>
        <w:rPr>
          <w:rFonts w:cs="Arial"/>
          <w:sz w:val="24"/>
          <w:szCs w:val="24"/>
        </w:rPr>
      </w:pPr>
      <w:r w:rsidRPr="00073D3C">
        <w:rPr>
          <w:rFonts w:cs="Arial"/>
          <w:sz w:val="24"/>
          <w:szCs w:val="24"/>
        </w:rPr>
        <w:t xml:space="preserve">and </w:t>
      </w:r>
    </w:p>
    <w:p w:rsidR="00D67AA1" w:rsidRPr="00073D3C" w:rsidRDefault="00D67AA1" w:rsidP="00D67AA1">
      <w:pPr>
        <w:ind w:left="1440"/>
        <w:rPr>
          <w:rFonts w:cs="Arial"/>
          <w:sz w:val="24"/>
          <w:szCs w:val="24"/>
        </w:rPr>
      </w:pPr>
    </w:p>
    <w:p w:rsidR="00073D3C" w:rsidRPr="00073D3C" w:rsidRDefault="00073D3C" w:rsidP="00D67AA1">
      <w:pPr>
        <w:ind w:left="1440"/>
        <w:rPr>
          <w:rFonts w:cs="Arial"/>
          <w:sz w:val="24"/>
          <w:szCs w:val="24"/>
        </w:rPr>
      </w:pPr>
      <w:r w:rsidRPr="00073D3C">
        <w:rPr>
          <w:rFonts w:cs="Arial"/>
          <w:sz w:val="24"/>
          <w:szCs w:val="24"/>
        </w:rPr>
        <w:t xml:space="preserve">(ii) where applicable, the person mentioned in section 12(3)(b) of the 2019 Act (persons on whom application must be served); or </w:t>
      </w:r>
    </w:p>
    <w:p w:rsidR="00D67AA1" w:rsidRDefault="00D67AA1" w:rsidP="00073D3C">
      <w:pPr>
        <w:rPr>
          <w:rFonts w:cs="Arial"/>
          <w:sz w:val="24"/>
          <w:szCs w:val="24"/>
        </w:rPr>
      </w:pPr>
    </w:p>
    <w:p w:rsidR="00073D3C" w:rsidRPr="00073D3C" w:rsidRDefault="00073D3C" w:rsidP="008C00D3">
      <w:pPr>
        <w:ind w:left="1440"/>
        <w:rPr>
          <w:rFonts w:cs="Arial"/>
          <w:sz w:val="24"/>
          <w:szCs w:val="24"/>
        </w:rPr>
      </w:pPr>
      <w:r w:rsidRPr="00073D3C">
        <w:rPr>
          <w:rFonts w:cs="Arial"/>
          <w:sz w:val="24"/>
          <w:szCs w:val="24"/>
        </w:rPr>
        <w:t xml:space="preserve">(c) fix a date for hearing the application and order intimation of the diet and application to the persons mentioned in sub-paragraph (b) and, on special cause shown, dispense meantime with intimation of the schedule of the application. </w:t>
      </w:r>
    </w:p>
    <w:p w:rsidR="00D67AA1" w:rsidRDefault="00D67AA1" w:rsidP="00073D3C">
      <w:pPr>
        <w:rPr>
          <w:rFonts w:cs="Arial"/>
          <w:sz w:val="24"/>
          <w:szCs w:val="24"/>
        </w:rPr>
      </w:pPr>
    </w:p>
    <w:p w:rsidR="00073D3C" w:rsidRDefault="00073D3C" w:rsidP="00D67AA1">
      <w:pPr>
        <w:ind w:firstLine="720"/>
        <w:rPr>
          <w:rFonts w:cs="Arial"/>
          <w:sz w:val="24"/>
          <w:szCs w:val="24"/>
        </w:rPr>
      </w:pPr>
      <w:r w:rsidRPr="00073D3C">
        <w:rPr>
          <w:rFonts w:cs="Arial"/>
          <w:sz w:val="24"/>
          <w:szCs w:val="24"/>
        </w:rPr>
        <w:t xml:space="preserve">(3) The proceedings must be in private. </w:t>
      </w:r>
    </w:p>
    <w:p w:rsidR="00073D3C" w:rsidRPr="00073D3C" w:rsidRDefault="00073D3C" w:rsidP="00073D3C">
      <w:pPr>
        <w:rPr>
          <w:rFonts w:cs="Arial"/>
          <w:sz w:val="24"/>
          <w:szCs w:val="24"/>
        </w:rPr>
      </w:pPr>
    </w:p>
    <w:p w:rsidR="00073D3C" w:rsidRPr="00073D3C" w:rsidRDefault="00073D3C" w:rsidP="00073D3C">
      <w:pPr>
        <w:rPr>
          <w:rFonts w:cs="Arial"/>
          <w:b/>
          <w:sz w:val="24"/>
          <w:szCs w:val="24"/>
        </w:rPr>
      </w:pPr>
      <w:bookmarkStart w:id="2" w:name="disapp"/>
      <w:r w:rsidRPr="00073D3C">
        <w:rPr>
          <w:rFonts w:cs="Arial"/>
          <w:b/>
          <w:sz w:val="24"/>
          <w:szCs w:val="24"/>
        </w:rPr>
        <w:t xml:space="preserve">Disapplication of effects of notice of application or a non-disclosure requirement </w:t>
      </w:r>
    </w:p>
    <w:bookmarkEnd w:id="2"/>
    <w:p w:rsidR="00073D3C" w:rsidRDefault="00073D3C" w:rsidP="00073D3C">
      <w:pPr>
        <w:rPr>
          <w:rFonts w:cs="Arial"/>
          <w:sz w:val="24"/>
          <w:szCs w:val="24"/>
        </w:rPr>
      </w:pPr>
    </w:p>
    <w:p w:rsidR="00073D3C" w:rsidRPr="00073D3C" w:rsidRDefault="00073D3C" w:rsidP="00073D3C">
      <w:pPr>
        <w:rPr>
          <w:rFonts w:cs="Arial"/>
          <w:sz w:val="24"/>
          <w:szCs w:val="24"/>
        </w:rPr>
      </w:pPr>
      <w:r w:rsidRPr="008C00D3">
        <w:rPr>
          <w:rFonts w:cs="Arial"/>
          <w:b/>
          <w:sz w:val="24"/>
          <w:szCs w:val="24"/>
        </w:rPr>
        <w:t>72.3.</w:t>
      </w:r>
      <w:r w:rsidR="008C00D3">
        <w:rPr>
          <w:rFonts w:cs="Arial"/>
          <w:sz w:val="24"/>
          <w:szCs w:val="24"/>
        </w:rPr>
        <w:tab/>
      </w:r>
      <w:r w:rsidRPr="00073D3C">
        <w:rPr>
          <w:rFonts w:cs="Arial"/>
          <w:sz w:val="24"/>
          <w:szCs w:val="24"/>
        </w:rPr>
        <w:t xml:space="preserve">(1) An application under sections 8(2)(a) (disapplication of non-disclosure </w:t>
      </w:r>
    </w:p>
    <w:p w:rsidR="00073D3C" w:rsidRPr="00073D3C" w:rsidRDefault="00073D3C" w:rsidP="008C00D3">
      <w:pPr>
        <w:ind w:left="720"/>
        <w:rPr>
          <w:rFonts w:cs="Arial"/>
          <w:sz w:val="24"/>
          <w:szCs w:val="24"/>
        </w:rPr>
      </w:pPr>
      <w:r w:rsidRPr="00073D3C">
        <w:rPr>
          <w:rFonts w:cs="Arial"/>
          <w:sz w:val="24"/>
          <w:szCs w:val="24"/>
        </w:rPr>
        <w:t>requirement) or 13(2)(a) (disapplication of duty under section 13(1)) of the 2019 Act must</w:t>
      </w:r>
      <w:r w:rsidR="008C00D3">
        <w:rPr>
          <w:rFonts w:cs="Arial"/>
          <w:sz w:val="24"/>
          <w:szCs w:val="24"/>
        </w:rPr>
        <w:t xml:space="preserve"> </w:t>
      </w:r>
      <w:r w:rsidRPr="00073D3C">
        <w:rPr>
          <w:rFonts w:cs="Arial"/>
          <w:sz w:val="24"/>
          <w:szCs w:val="24"/>
        </w:rPr>
        <w:t xml:space="preserve">be made in Form 72.3. </w:t>
      </w:r>
    </w:p>
    <w:p w:rsidR="008C00D3" w:rsidRDefault="008C00D3" w:rsidP="00073D3C">
      <w:pPr>
        <w:rPr>
          <w:rFonts w:cs="Arial"/>
          <w:sz w:val="24"/>
          <w:szCs w:val="24"/>
        </w:rPr>
      </w:pPr>
    </w:p>
    <w:p w:rsidR="00073D3C" w:rsidRPr="00073D3C" w:rsidRDefault="00073D3C" w:rsidP="008C00D3">
      <w:pPr>
        <w:ind w:firstLine="720"/>
        <w:rPr>
          <w:rFonts w:cs="Arial"/>
          <w:sz w:val="24"/>
          <w:szCs w:val="24"/>
        </w:rPr>
      </w:pPr>
      <w:r w:rsidRPr="00073D3C">
        <w:rPr>
          <w:rFonts w:cs="Arial"/>
          <w:sz w:val="24"/>
          <w:szCs w:val="24"/>
        </w:rPr>
        <w:t xml:space="preserve">(2) The court must order intimation of the application to the appropriate officer. </w:t>
      </w:r>
    </w:p>
    <w:p w:rsidR="008C00D3" w:rsidRDefault="008C00D3" w:rsidP="00073D3C">
      <w:pPr>
        <w:rPr>
          <w:rFonts w:cs="Arial"/>
          <w:sz w:val="24"/>
          <w:szCs w:val="24"/>
        </w:rPr>
      </w:pPr>
    </w:p>
    <w:p w:rsidR="00073D3C" w:rsidRPr="00073D3C" w:rsidRDefault="00073D3C" w:rsidP="008C00D3">
      <w:pPr>
        <w:ind w:left="720"/>
        <w:rPr>
          <w:rFonts w:cs="Arial"/>
          <w:sz w:val="24"/>
          <w:szCs w:val="24"/>
        </w:rPr>
      </w:pPr>
      <w:r w:rsidRPr="00073D3C">
        <w:rPr>
          <w:rFonts w:cs="Arial"/>
          <w:sz w:val="24"/>
          <w:szCs w:val="24"/>
        </w:rPr>
        <w:t xml:space="preserve">(3) The appropriate officer must, within seven days of intimation of the application, notify the clerk of court in writing whether or not the application is opposed.  </w:t>
      </w:r>
    </w:p>
    <w:p w:rsidR="00073D3C" w:rsidRPr="00073D3C" w:rsidRDefault="00073D3C" w:rsidP="00073D3C">
      <w:pPr>
        <w:rPr>
          <w:rFonts w:cs="Arial"/>
          <w:sz w:val="24"/>
          <w:szCs w:val="24"/>
        </w:rPr>
      </w:pPr>
    </w:p>
    <w:p w:rsidR="00073D3C" w:rsidRDefault="00073D3C" w:rsidP="008C00D3">
      <w:pPr>
        <w:ind w:left="720"/>
        <w:rPr>
          <w:rFonts w:cs="Arial"/>
          <w:sz w:val="24"/>
          <w:szCs w:val="24"/>
        </w:rPr>
      </w:pPr>
      <w:r w:rsidRPr="00073D3C">
        <w:rPr>
          <w:rFonts w:cs="Arial"/>
          <w:sz w:val="24"/>
          <w:szCs w:val="24"/>
        </w:rPr>
        <w:t xml:space="preserve">(4) Where the appropriate officer notifies the clerk of court that the application is not opposed, the court must proceed to dispose of the application and may do so in the absence of the applicant. </w:t>
      </w:r>
    </w:p>
    <w:p w:rsidR="008C00D3" w:rsidRPr="00073D3C" w:rsidRDefault="008C00D3" w:rsidP="008C00D3">
      <w:pPr>
        <w:ind w:left="720"/>
        <w:rPr>
          <w:rFonts w:cs="Arial"/>
          <w:sz w:val="24"/>
          <w:szCs w:val="24"/>
        </w:rPr>
      </w:pPr>
    </w:p>
    <w:p w:rsidR="00073D3C" w:rsidRDefault="00073D3C" w:rsidP="008C00D3">
      <w:pPr>
        <w:ind w:left="720"/>
        <w:rPr>
          <w:rFonts w:cs="Arial"/>
          <w:sz w:val="24"/>
          <w:szCs w:val="24"/>
        </w:rPr>
      </w:pPr>
      <w:r w:rsidRPr="00073D3C">
        <w:rPr>
          <w:rFonts w:cs="Arial"/>
          <w:sz w:val="24"/>
          <w:szCs w:val="24"/>
        </w:rPr>
        <w:t xml:space="preserve">(5) Where the appropriate officer notifies the clerk of court that the application will be opposed, the clerk of court must arrange a hearing at which the parties may appear or be represented. </w:t>
      </w:r>
    </w:p>
    <w:p w:rsidR="008C00D3" w:rsidRPr="00073D3C" w:rsidRDefault="008C00D3" w:rsidP="008C00D3">
      <w:pPr>
        <w:ind w:left="720"/>
        <w:rPr>
          <w:rFonts w:cs="Arial"/>
          <w:sz w:val="24"/>
          <w:szCs w:val="24"/>
        </w:rPr>
      </w:pPr>
    </w:p>
    <w:p w:rsidR="00073D3C" w:rsidRDefault="00073D3C" w:rsidP="008C00D3">
      <w:pPr>
        <w:ind w:firstLine="720"/>
        <w:rPr>
          <w:rFonts w:cs="Arial"/>
          <w:sz w:val="24"/>
          <w:szCs w:val="24"/>
        </w:rPr>
      </w:pPr>
      <w:r w:rsidRPr="00073D3C">
        <w:rPr>
          <w:rFonts w:cs="Arial"/>
          <w:sz w:val="24"/>
          <w:szCs w:val="24"/>
        </w:rPr>
        <w:t xml:space="preserve">(6) The proceedings must be in private. </w:t>
      </w:r>
    </w:p>
    <w:p w:rsidR="008C00D3" w:rsidRPr="00073D3C" w:rsidRDefault="008C00D3" w:rsidP="008C00D3">
      <w:pPr>
        <w:ind w:firstLine="720"/>
        <w:rPr>
          <w:rFonts w:cs="Arial"/>
          <w:sz w:val="24"/>
          <w:szCs w:val="24"/>
        </w:rPr>
      </w:pPr>
    </w:p>
    <w:p w:rsidR="00073D3C" w:rsidRPr="00073D3C" w:rsidRDefault="00073D3C" w:rsidP="008C00D3">
      <w:pPr>
        <w:ind w:left="720"/>
        <w:rPr>
          <w:rFonts w:cs="Arial"/>
          <w:sz w:val="24"/>
          <w:szCs w:val="24"/>
        </w:rPr>
      </w:pPr>
      <w:r w:rsidRPr="00073D3C">
        <w:rPr>
          <w:rFonts w:cs="Arial"/>
          <w:sz w:val="24"/>
          <w:szCs w:val="24"/>
        </w:rPr>
        <w:t xml:space="preserve">(7) The clerk of court must give notice in writing of the decision of the court on an application referred to in paragraph (1) to the applicant and the appropriate officer. </w:t>
      </w:r>
    </w:p>
    <w:p w:rsidR="00D67AA1" w:rsidRPr="00D67AA1" w:rsidRDefault="00D67AA1" w:rsidP="00073D3C">
      <w:pPr>
        <w:rPr>
          <w:rFonts w:cs="Arial"/>
          <w:b/>
          <w:sz w:val="24"/>
          <w:szCs w:val="24"/>
        </w:rPr>
      </w:pPr>
    </w:p>
    <w:p w:rsidR="008C00D3" w:rsidRDefault="008C00D3" w:rsidP="00073D3C">
      <w:pPr>
        <w:rPr>
          <w:rFonts w:cs="Arial"/>
          <w:b/>
          <w:sz w:val="24"/>
          <w:szCs w:val="24"/>
        </w:rPr>
      </w:pPr>
      <w:bookmarkStart w:id="3" w:name="variation"/>
    </w:p>
    <w:p w:rsidR="00073D3C" w:rsidRPr="00D67AA1" w:rsidRDefault="00073D3C" w:rsidP="00073D3C">
      <w:pPr>
        <w:rPr>
          <w:rFonts w:cs="Arial"/>
          <w:b/>
          <w:sz w:val="24"/>
          <w:szCs w:val="24"/>
        </w:rPr>
      </w:pPr>
      <w:r w:rsidRPr="00D67AA1">
        <w:rPr>
          <w:rFonts w:cs="Arial"/>
          <w:b/>
          <w:sz w:val="24"/>
          <w:szCs w:val="24"/>
        </w:rPr>
        <w:lastRenderedPageBreak/>
        <w:t xml:space="preserve">Variation or revocation of an overseas production order </w:t>
      </w:r>
    </w:p>
    <w:bookmarkEnd w:id="3"/>
    <w:p w:rsidR="00D67AA1" w:rsidRDefault="00D67AA1" w:rsidP="00073D3C">
      <w:pPr>
        <w:rPr>
          <w:rFonts w:cs="Arial"/>
          <w:sz w:val="24"/>
          <w:szCs w:val="24"/>
        </w:rPr>
      </w:pPr>
    </w:p>
    <w:p w:rsidR="00073D3C" w:rsidRPr="00073D3C" w:rsidRDefault="00073D3C" w:rsidP="00073D3C">
      <w:pPr>
        <w:rPr>
          <w:rFonts w:cs="Arial"/>
          <w:sz w:val="24"/>
          <w:szCs w:val="24"/>
        </w:rPr>
      </w:pPr>
      <w:r w:rsidRPr="008C00D3">
        <w:rPr>
          <w:rFonts w:cs="Arial"/>
          <w:b/>
          <w:sz w:val="24"/>
          <w:szCs w:val="24"/>
        </w:rPr>
        <w:t>72.4.</w:t>
      </w:r>
      <w:r w:rsidR="008C00D3">
        <w:rPr>
          <w:rFonts w:cs="Arial"/>
          <w:sz w:val="24"/>
          <w:szCs w:val="24"/>
        </w:rPr>
        <w:tab/>
      </w:r>
      <w:r w:rsidRPr="00073D3C">
        <w:rPr>
          <w:rFonts w:cs="Arial"/>
          <w:sz w:val="24"/>
          <w:szCs w:val="24"/>
        </w:rPr>
        <w:t xml:space="preserve">(1) An application under section 7 of the 2019 Act (variation or revocation of </w:t>
      </w:r>
    </w:p>
    <w:p w:rsidR="00073D3C" w:rsidRPr="00073D3C" w:rsidRDefault="00073D3C" w:rsidP="008C00D3">
      <w:pPr>
        <w:ind w:firstLine="720"/>
        <w:rPr>
          <w:rFonts w:cs="Arial"/>
          <w:sz w:val="24"/>
          <w:szCs w:val="24"/>
        </w:rPr>
      </w:pPr>
      <w:r w:rsidRPr="00073D3C">
        <w:rPr>
          <w:rFonts w:cs="Arial"/>
          <w:sz w:val="24"/>
          <w:szCs w:val="24"/>
        </w:rPr>
        <w:t xml:space="preserve">order) must be made in Form 72.4. </w:t>
      </w:r>
    </w:p>
    <w:p w:rsidR="008C00D3" w:rsidRDefault="008C00D3" w:rsidP="00073D3C">
      <w:pPr>
        <w:rPr>
          <w:rFonts w:cs="Arial"/>
          <w:sz w:val="24"/>
          <w:szCs w:val="24"/>
        </w:rPr>
      </w:pPr>
    </w:p>
    <w:p w:rsidR="00073D3C" w:rsidRPr="00073D3C" w:rsidRDefault="00073D3C" w:rsidP="008C00D3">
      <w:pPr>
        <w:ind w:left="720"/>
        <w:rPr>
          <w:rFonts w:cs="Arial"/>
          <w:sz w:val="24"/>
          <w:szCs w:val="24"/>
        </w:rPr>
      </w:pPr>
      <w:r w:rsidRPr="00073D3C">
        <w:rPr>
          <w:rFonts w:cs="Arial"/>
          <w:sz w:val="24"/>
          <w:szCs w:val="24"/>
        </w:rPr>
        <w:t>(2) When an application under paragraph (1) is lodged, subject to sections 8 (inclusion of non-disclosure requirement in order) and 12 (notice of application for order: journalistic data) w</w:t>
      </w:r>
      <w:r w:rsidR="008C00D3">
        <w:rPr>
          <w:rFonts w:cs="Arial"/>
          <w:sz w:val="24"/>
          <w:szCs w:val="24"/>
        </w:rPr>
        <w:t>here applicable, the court may:</w:t>
      </w:r>
    </w:p>
    <w:p w:rsidR="008C00D3" w:rsidRDefault="008C00D3" w:rsidP="00073D3C">
      <w:pPr>
        <w:rPr>
          <w:rFonts w:cs="Arial"/>
          <w:sz w:val="24"/>
          <w:szCs w:val="24"/>
        </w:rPr>
      </w:pPr>
    </w:p>
    <w:p w:rsidR="008C00D3" w:rsidRPr="008C00D3" w:rsidRDefault="00073D3C" w:rsidP="008C00D3">
      <w:pPr>
        <w:pStyle w:val="ListParagraph"/>
        <w:numPr>
          <w:ilvl w:val="0"/>
          <w:numId w:val="1"/>
        </w:numPr>
        <w:rPr>
          <w:rFonts w:cs="Arial"/>
          <w:sz w:val="24"/>
          <w:szCs w:val="24"/>
        </w:rPr>
      </w:pPr>
      <w:r w:rsidRPr="008C00D3">
        <w:rPr>
          <w:rFonts w:cs="Arial"/>
          <w:sz w:val="24"/>
          <w:szCs w:val="24"/>
        </w:rPr>
        <w:t>dispense, on cause shown, with intimation to any relevant persons and proceed to consider the application;</w:t>
      </w:r>
    </w:p>
    <w:p w:rsidR="00073D3C" w:rsidRPr="008C00D3" w:rsidRDefault="00073D3C" w:rsidP="008C00D3">
      <w:pPr>
        <w:pStyle w:val="ListParagraph"/>
        <w:ind w:left="1800"/>
        <w:rPr>
          <w:rFonts w:cs="Arial"/>
          <w:sz w:val="24"/>
          <w:szCs w:val="24"/>
        </w:rPr>
      </w:pPr>
      <w:r w:rsidRPr="008C00D3">
        <w:rPr>
          <w:rFonts w:cs="Arial"/>
          <w:sz w:val="24"/>
          <w:szCs w:val="24"/>
        </w:rPr>
        <w:t xml:space="preserve"> </w:t>
      </w:r>
    </w:p>
    <w:p w:rsidR="00073D3C" w:rsidRPr="008C00D3" w:rsidRDefault="00073D3C" w:rsidP="008C00D3">
      <w:pPr>
        <w:pStyle w:val="ListParagraph"/>
        <w:numPr>
          <w:ilvl w:val="0"/>
          <w:numId w:val="1"/>
        </w:numPr>
        <w:rPr>
          <w:rFonts w:cs="Arial"/>
          <w:sz w:val="24"/>
          <w:szCs w:val="24"/>
        </w:rPr>
      </w:pPr>
      <w:r w:rsidRPr="008C00D3">
        <w:rPr>
          <w:rFonts w:cs="Arial"/>
          <w:sz w:val="24"/>
          <w:szCs w:val="24"/>
        </w:rPr>
        <w:t xml:space="preserve">fix a date for hearing the application and order intimation of the diet and </w:t>
      </w:r>
      <w:r w:rsidR="008C00D3" w:rsidRPr="008C00D3">
        <w:rPr>
          <w:rFonts w:cs="Arial"/>
          <w:sz w:val="24"/>
          <w:szCs w:val="24"/>
        </w:rPr>
        <w:t>application to:</w:t>
      </w:r>
    </w:p>
    <w:p w:rsidR="008C00D3" w:rsidRPr="008C00D3" w:rsidRDefault="008C00D3" w:rsidP="008C00D3">
      <w:pPr>
        <w:pStyle w:val="ListParagraph"/>
        <w:rPr>
          <w:rFonts w:cs="Arial"/>
          <w:sz w:val="24"/>
          <w:szCs w:val="24"/>
        </w:rPr>
      </w:pPr>
    </w:p>
    <w:p w:rsidR="00073D3C" w:rsidRDefault="00073D3C" w:rsidP="008C00D3">
      <w:pPr>
        <w:ind w:left="1770"/>
        <w:rPr>
          <w:rFonts w:cs="Arial"/>
          <w:sz w:val="24"/>
          <w:szCs w:val="24"/>
        </w:rPr>
      </w:pPr>
      <w:r w:rsidRPr="00073D3C">
        <w:rPr>
          <w:rFonts w:cs="Arial"/>
          <w:sz w:val="24"/>
          <w:szCs w:val="24"/>
        </w:rPr>
        <w:t xml:space="preserve">(i) the Lord Advocate and any person affected by the order, where the appropriate officer who applied for the order or an equivalent appropriate officer is seeking to vary or revoke it; </w:t>
      </w:r>
    </w:p>
    <w:p w:rsidR="008C00D3" w:rsidRPr="00073D3C" w:rsidRDefault="008C00D3" w:rsidP="008C00D3">
      <w:pPr>
        <w:ind w:left="1440"/>
        <w:rPr>
          <w:rFonts w:cs="Arial"/>
          <w:sz w:val="24"/>
          <w:szCs w:val="24"/>
        </w:rPr>
      </w:pPr>
    </w:p>
    <w:p w:rsidR="008C00D3" w:rsidRDefault="00073D3C" w:rsidP="008C00D3">
      <w:pPr>
        <w:ind w:left="1770"/>
        <w:rPr>
          <w:rFonts w:cs="Arial"/>
          <w:sz w:val="24"/>
          <w:szCs w:val="24"/>
        </w:rPr>
      </w:pPr>
      <w:r w:rsidRPr="00073D3C">
        <w:rPr>
          <w:rFonts w:cs="Arial"/>
          <w:sz w:val="24"/>
          <w:szCs w:val="24"/>
        </w:rPr>
        <w:t>(ii) the appropriate officer who applied for the overseas production order or an equivalent appropriate officer and any person affected by the order, where the Lord Advocate or the procurator fiscal, as the case may be, is seeking to vary or revoke it; or</w:t>
      </w:r>
    </w:p>
    <w:p w:rsidR="008C00D3" w:rsidRDefault="008C00D3" w:rsidP="008C00D3">
      <w:pPr>
        <w:ind w:left="1440"/>
        <w:rPr>
          <w:rFonts w:cs="Arial"/>
          <w:sz w:val="24"/>
          <w:szCs w:val="24"/>
        </w:rPr>
      </w:pPr>
    </w:p>
    <w:p w:rsidR="008C00D3" w:rsidRDefault="00073D3C" w:rsidP="008C00D3">
      <w:pPr>
        <w:ind w:left="1770"/>
        <w:rPr>
          <w:rFonts w:cs="Arial"/>
          <w:sz w:val="24"/>
          <w:szCs w:val="24"/>
        </w:rPr>
      </w:pPr>
      <w:r w:rsidRPr="00073D3C">
        <w:rPr>
          <w:rFonts w:cs="Arial"/>
          <w:sz w:val="24"/>
          <w:szCs w:val="24"/>
        </w:rPr>
        <w:t>(iii) the appropriate officer who applied for the overseas production order or an equivalent appropriate officer, the Lord Advocate and any person (other than the applicant) affected by the order, as the case may be, where a person affected by the order is seeking to vary or revoke it; or</w:t>
      </w:r>
    </w:p>
    <w:p w:rsidR="008C00D3" w:rsidRDefault="008C00D3" w:rsidP="008C00D3">
      <w:pPr>
        <w:ind w:left="1440"/>
        <w:rPr>
          <w:rFonts w:cs="Arial"/>
          <w:sz w:val="24"/>
          <w:szCs w:val="24"/>
        </w:rPr>
      </w:pPr>
    </w:p>
    <w:p w:rsidR="00073D3C" w:rsidRPr="008C00D3" w:rsidRDefault="00073D3C" w:rsidP="008C00D3">
      <w:pPr>
        <w:pStyle w:val="ListParagraph"/>
        <w:numPr>
          <w:ilvl w:val="0"/>
          <w:numId w:val="1"/>
        </w:numPr>
        <w:rPr>
          <w:rFonts w:cs="Arial"/>
          <w:sz w:val="24"/>
          <w:szCs w:val="24"/>
        </w:rPr>
      </w:pPr>
      <w:r w:rsidRPr="008C00D3">
        <w:rPr>
          <w:rFonts w:cs="Arial"/>
          <w:sz w:val="24"/>
          <w:szCs w:val="24"/>
        </w:rPr>
        <w:t xml:space="preserve">fix a date for hearing the application and order intimation of the diet and application to the persons specified in sub-paragraph (b) and, on special cause shown, dispense meantime with intimation of the schedule of the application. </w:t>
      </w:r>
    </w:p>
    <w:p w:rsidR="008C00D3" w:rsidRPr="008C00D3" w:rsidRDefault="008C00D3" w:rsidP="008C00D3">
      <w:pPr>
        <w:pStyle w:val="ListParagraph"/>
        <w:ind w:left="1800"/>
        <w:rPr>
          <w:rFonts w:cs="Arial"/>
          <w:sz w:val="24"/>
          <w:szCs w:val="24"/>
        </w:rPr>
      </w:pPr>
      <w:bookmarkStart w:id="4" w:name="_GoBack"/>
      <w:bookmarkEnd w:id="4"/>
    </w:p>
    <w:p w:rsidR="004B31AA" w:rsidRPr="00073D3C" w:rsidRDefault="00073D3C" w:rsidP="008C00D3">
      <w:pPr>
        <w:ind w:firstLine="720"/>
        <w:rPr>
          <w:rFonts w:cs="Arial"/>
          <w:sz w:val="24"/>
          <w:szCs w:val="24"/>
        </w:rPr>
      </w:pPr>
      <w:r w:rsidRPr="00073D3C">
        <w:rPr>
          <w:rFonts w:cs="Arial"/>
          <w:sz w:val="24"/>
          <w:szCs w:val="24"/>
        </w:rPr>
        <w:t>(3) The proceedings must be in private.</w:t>
      </w:r>
    </w:p>
    <w:sectPr w:rsidR="004B31AA" w:rsidRPr="00073D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AA1" w:rsidRDefault="00D67AA1" w:rsidP="00D67AA1">
      <w:r>
        <w:separator/>
      </w:r>
    </w:p>
  </w:endnote>
  <w:endnote w:type="continuationSeparator" w:id="0">
    <w:p w:rsidR="00D67AA1" w:rsidRDefault="00D67AA1" w:rsidP="00D6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AA1" w:rsidRDefault="00D67AA1" w:rsidP="00D67AA1">
      <w:r>
        <w:separator/>
      </w:r>
    </w:p>
  </w:footnote>
  <w:footnote w:type="continuationSeparator" w:id="0">
    <w:p w:rsidR="00D67AA1" w:rsidRDefault="00D67AA1" w:rsidP="00D6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C62"/>
    <w:multiLevelType w:val="hybridMultilevel"/>
    <w:tmpl w:val="B7E203A2"/>
    <w:lvl w:ilvl="0" w:tplc="B6D20F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3C"/>
    <w:rsid w:val="00032DEE"/>
    <w:rsid w:val="00073D3C"/>
    <w:rsid w:val="008C00D3"/>
    <w:rsid w:val="00AC0611"/>
    <w:rsid w:val="00D6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29C215"/>
  <w15:chartTrackingRefBased/>
  <w15:docId w15:val="{D606EB5F-928D-40D6-8DA9-787FB0F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3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3D3C"/>
    <w:pPr>
      <w:spacing w:before="100" w:beforeAutospacing="1" w:after="100" w:afterAutospacing="1"/>
    </w:pPr>
    <w:rPr>
      <w:rFonts w:ascii="Times New Roman" w:hAnsi="Times New Roman"/>
      <w:sz w:val="24"/>
      <w:szCs w:val="24"/>
      <w:lang w:val="en-US"/>
    </w:rPr>
  </w:style>
  <w:style w:type="paragraph" w:styleId="BodyText">
    <w:name w:val="Body Text"/>
    <w:basedOn w:val="Normal"/>
    <w:link w:val="BodyTextChar"/>
    <w:rsid w:val="00073D3C"/>
    <w:pPr>
      <w:tabs>
        <w:tab w:val="left" w:pos="785"/>
        <w:tab w:val="left" w:pos="8007"/>
      </w:tabs>
      <w:jc w:val="both"/>
    </w:pPr>
    <w:rPr>
      <w:rFonts w:ascii="Tahoma" w:hAnsi="Tahoma" w:cs="Tahoma"/>
      <w:bCs/>
      <w:sz w:val="24"/>
      <w:szCs w:val="24"/>
    </w:rPr>
  </w:style>
  <w:style w:type="character" w:customStyle="1" w:styleId="BodyTextChar">
    <w:name w:val="Body Text Char"/>
    <w:basedOn w:val="DefaultParagraphFont"/>
    <w:link w:val="BodyText"/>
    <w:rsid w:val="00073D3C"/>
    <w:rPr>
      <w:rFonts w:ascii="Tahoma" w:eastAsia="Times New Roman" w:hAnsi="Tahoma" w:cs="Tahoma"/>
      <w:bCs/>
      <w:sz w:val="24"/>
      <w:szCs w:val="24"/>
    </w:rPr>
  </w:style>
  <w:style w:type="paragraph" w:styleId="FootnoteText">
    <w:name w:val="footnote text"/>
    <w:basedOn w:val="Normal"/>
    <w:link w:val="FootnoteTextChar"/>
    <w:uiPriority w:val="99"/>
    <w:semiHidden/>
    <w:unhideWhenUsed/>
    <w:rsid w:val="00D67AA1"/>
  </w:style>
  <w:style w:type="character" w:customStyle="1" w:styleId="FootnoteTextChar">
    <w:name w:val="Footnote Text Char"/>
    <w:basedOn w:val="DefaultParagraphFont"/>
    <w:link w:val="FootnoteText"/>
    <w:uiPriority w:val="99"/>
    <w:semiHidden/>
    <w:rsid w:val="00D67AA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67AA1"/>
    <w:rPr>
      <w:vertAlign w:val="superscript"/>
    </w:rPr>
  </w:style>
  <w:style w:type="character" w:styleId="Hyperlink">
    <w:name w:val="Hyperlink"/>
    <w:basedOn w:val="DefaultParagraphFont"/>
    <w:uiPriority w:val="99"/>
    <w:unhideWhenUsed/>
    <w:rsid w:val="00D67AA1"/>
    <w:rPr>
      <w:color w:val="0563C1" w:themeColor="hyperlink"/>
      <w:u w:val="single"/>
    </w:rPr>
  </w:style>
  <w:style w:type="paragraph" w:styleId="ListParagraph">
    <w:name w:val="List Paragraph"/>
    <w:basedOn w:val="Normal"/>
    <w:uiPriority w:val="34"/>
    <w:qFormat/>
    <w:rsid w:val="00D67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14C2-0496-49F3-8154-E6FFB1AC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Kubeczka, Mark</dc:creator>
  <cp:keywords/>
  <dc:description/>
  <cp:lastModifiedBy>Kubeczka, Mark</cp:lastModifiedBy>
  <cp:revision>1</cp:revision>
  <dcterms:created xsi:type="dcterms:W3CDTF">2022-09-01T14:08:00Z</dcterms:created>
  <dcterms:modified xsi:type="dcterms:W3CDTF">2022-09-01T14:25:00Z</dcterms:modified>
</cp:coreProperties>
</file>