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280752" w:rsidRPr="00BE353C" w:rsidTr="00AB346D">
        <w:tc>
          <w:tcPr>
            <w:tcW w:w="9242" w:type="dxa"/>
            <w:gridSpan w:val="2"/>
            <w:shd w:val="clear" w:color="auto" w:fill="auto"/>
          </w:tcPr>
          <w:p w:rsidR="00280752" w:rsidRPr="00280752" w:rsidRDefault="00280752" w:rsidP="00280752">
            <w:pPr>
              <w:spacing w:before="120" w:after="120" w:line="240" w:lineRule="auto"/>
              <w:jc w:val="center"/>
              <w:rPr>
                <w:rFonts w:ascii="Calibri" w:eastAsia="Calibri" w:hAnsi="Calibri" w:cs="Calibri"/>
                <w:b/>
                <w:bCs/>
                <w:sz w:val="28"/>
                <w:szCs w:val="28"/>
                <w:lang w:val="en-US"/>
              </w:rPr>
            </w:pPr>
            <w:r w:rsidRPr="00280752">
              <w:rPr>
                <w:rFonts w:ascii="Calibri" w:eastAsia="Calibri" w:hAnsi="Calibri" w:cs="Calibri"/>
                <w:b/>
                <w:bCs/>
                <w:sz w:val="28"/>
                <w:szCs w:val="28"/>
                <w:lang w:val="en-US"/>
              </w:rPr>
              <w:t xml:space="preserve">Act of </w:t>
            </w:r>
            <w:proofErr w:type="spellStart"/>
            <w:r w:rsidRPr="00280752">
              <w:rPr>
                <w:rFonts w:ascii="Calibri" w:eastAsia="Calibri" w:hAnsi="Calibri" w:cs="Calibri"/>
                <w:b/>
                <w:bCs/>
                <w:sz w:val="28"/>
                <w:szCs w:val="28"/>
                <w:lang w:val="en-US"/>
              </w:rPr>
              <w:t>Sederunt</w:t>
            </w:r>
            <w:proofErr w:type="spellEnd"/>
            <w:r w:rsidRPr="00280752">
              <w:rPr>
                <w:rFonts w:ascii="Calibri" w:eastAsia="Calibri" w:hAnsi="Calibri" w:cs="Calibri"/>
                <w:b/>
                <w:bCs/>
                <w:sz w:val="28"/>
                <w:szCs w:val="28"/>
                <w:lang w:val="en-US"/>
              </w:rPr>
              <w:t xml:space="preserve"> (Child Care and Maintenance Rules) 1997</w:t>
            </w:r>
          </w:p>
          <w:p w:rsidR="00280752" w:rsidRPr="00280752" w:rsidRDefault="00280752" w:rsidP="00280752">
            <w:pPr>
              <w:spacing w:before="120" w:after="120" w:line="240" w:lineRule="auto"/>
              <w:jc w:val="center"/>
              <w:rPr>
                <w:rFonts w:ascii="Calibri" w:eastAsia="Calibri" w:hAnsi="Calibri" w:cs="Calibri"/>
                <w:b/>
                <w:bCs/>
                <w:sz w:val="28"/>
                <w:szCs w:val="28"/>
                <w:lang w:val="en-US"/>
              </w:rPr>
            </w:pPr>
            <w:r w:rsidRPr="00280752">
              <w:rPr>
                <w:rFonts w:ascii="Calibri" w:eastAsia="Calibri" w:hAnsi="Calibri" w:cs="Calibri"/>
                <w:b/>
                <w:bCs/>
                <w:sz w:val="28"/>
                <w:szCs w:val="28"/>
                <w:lang w:val="en-US"/>
              </w:rPr>
              <w:t>Statutory Instrument 1997 No. 291 (S.19)</w:t>
            </w:r>
          </w:p>
          <w:p w:rsidR="00280752" w:rsidRPr="00BE353C" w:rsidRDefault="00280752" w:rsidP="00BE353C">
            <w:pPr>
              <w:spacing w:before="120" w:after="120" w:line="240" w:lineRule="auto"/>
              <w:jc w:val="both"/>
              <w:rPr>
                <w:rFonts w:ascii="Arial" w:eastAsia="Times New Roman" w:hAnsi="Arial" w:cs="Arial"/>
                <w:b/>
                <w:sz w:val="24"/>
                <w:szCs w:val="24"/>
                <w:lang w:val="en-US"/>
              </w:rPr>
            </w:pPr>
          </w:p>
        </w:tc>
      </w:tr>
      <w:tr w:rsidR="00BE353C" w:rsidRPr="00BE353C" w:rsidTr="00AB346D">
        <w:tc>
          <w:tcPr>
            <w:tcW w:w="9242" w:type="dxa"/>
            <w:gridSpan w:val="2"/>
            <w:shd w:val="clear" w:color="auto" w:fill="auto"/>
          </w:tcPr>
          <w:p w:rsidR="00BE353C" w:rsidRDefault="00BE353C" w:rsidP="00BE353C">
            <w:pPr>
              <w:spacing w:before="120" w:after="120" w:line="240" w:lineRule="auto"/>
              <w:jc w:val="both"/>
              <w:rPr>
                <w:rFonts w:ascii="Arial" w:eastAsia="Times New Roman" w:hAnsi="Arial" w:cs="Arial"/>
                <w:b/>
                <w:sz w:val="24"/>
                <w:szCs w:val="24"/>
                <w:lang w:val="en-US"/>
              </w:rPr>
            </w:pPr>
            <w:r w:rsidRPr="00BE353C">
              <w:rPr>
                <w:rFonts w:ascii="Arial" w:eastAsia="Times New Roman" w:hAnsi="Arial" w:cs="Arial"/>
                <w:b/>
                <w:sz w:val="24"/>
                <w:szCs w:val="24"/>
                <w:lang w:val="en-US"/>
              </w:rPr>
              <w:t>PART IX  PROCEDURE IN APPEALS UNDER SECTION 51(11) OF THE ACT</w:t>
            </w:r>
          </w:p>
          <w:p w:rsidR="00424580" w:rsidRPr="00424580" w:rsidRDefault="00424580" w:rsidP="00424580">
            <w:pPr>
              <w:spacing w:before="120" w:after="120" w:line="240" w:lineRule="auto"/>
              <w:rPr>
                <w:rFonts w:ascii="Arial" w:eastAsia="Times New Roman" w:hAnsi="Arial" w:cs="Arial"/>
                <w:b/>
                <w:color w:val="FF0000"/>
                <w:sz w:val="24"/>
                <w:szCs w:val="24"/>
                <w:lang w:val="en-US"/>
              </w:rPr>
            </w:pPr>
            <w:r w:rsidRPr="00424580">
              <w:rPr>
                <w:rFonts w:ascii="Arial" w:eastAsia="Times New Roman" w:hAnsi="Arial" w:cs="Arial"/>
                <w:b/>
                <w:color w:val="FF0000"/>
                <w:sz w:val="24"/>
                <w:szCs w:val="24"/>
                <w:lang w:val="en-US"/>
              </w:rPr>
              <w:t>Applica</w:t>
            </w:r>
            <w:bookmarkStart w:id="0" w:name="_GoBack"/>
            <w:bookmarkEnd w:id="0"/>
            <w:r w:rsidRPr="00424580">
              <w:rPr>
                <w:rFonts w:ascii="Arial" w:eastAsia="Times New Roman" w:hAnsi="Arial" w:cs="Arial"/>
                <w:b/>
                <w:color w:val="FF0000"/>
                <w:sz w:val="24"/>
                <w:szCs w:val="24"/>
                <w:lang w:val="en-US"/>
              </w:rPr>
              <w:t>tions lodged before 24 June 2013</w:t>
            </w:r>
          </w:p>
          <w:p w:rsidR="00424580" w:rsidRPr="00BE353C" w:rsidRDefault="00424580" w:rsidP="00BE353C">
            <w:pPr>
              <w:spacing w:before="120" w:after="120" w:line="240" w:lineRule="auto"/>
              <w:jc w:val="both"/>
              <w:rPr>
                <w:rFonts w:ascii="Arial" w:eastAsia="Times New Roman" w:hAnsi="Arial" w:cs="Arial"/>
                <w:b/>
                <w:sz w:val="24"/>
                <w:szCs w:val="24"/>
                <w:lang w:val="en-US"/>
              </w:rPr>
            </w:pPr>
          </w:p>
        </w:tc>
      </w:tr>
      <w:tr w:rsidR="00BE353C" w:rsidRPr="00BE353C" w:rsidTr="00AB346D">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3.59</w:t>
            </w:r>
          </w:p>
        </w:tc>
        <w:tc>
          <w:tcPr>
            <w:tcW w:w="8134" w:type="dxa"/>
            <w:shd w:val="clear" w:color="auto" w:fill="auto"/>
          </w:tcPr>
          <w:p w:rsidR="00BE353C" w:rsidRPr="00BE353C" w:rsidRDefault="00424580" w:rsidP="00BE353C">
            <w:pPr>
              <w:spacing w:before="120" w:after="120" w:line="240" w:lineRule="auto"/>
              <w:rPr>
                <w:rFonts w:ascii="Arial" w:eastAsia="Times New Roman" w:hAnsi="Arial" w:cs="Arial"/>
                <w:b/>
                <w:color w:val="000000"/>
                <w:sz w:val="24"/>
                <w:szCs w:val="24"/>
                <w:lang w:val="en-US"/>
              </w:rPr>
            </w:pPr>
            <w:hyperlink w:anchor="r0359" w:history="1">
              <w:r w:rsidR="00BE353C" w:rsidRPr="00BE353C">
                <w:rPr>
                  <w:rFonts w:ascii="Arial" w:eastAsia="Times New Roman" w:hAnsi="Arial" w:cs="Arial"/>
                  <w:b/>
                  <w:color w:val="0000FF"/>
                  <w:sz w:val="24"/>
                  <w:szCs w:val="24"/>
                  <w:u w:val="single"/>
                  <w:lang w:val="en-US"/>
                </w:rPr>
                <w:t>Appeals</w:t>
              </w:r>
            </w:hyperlink>
          </w:p>
        </w:tc>
      </w:tr>
      <w:tr w:rsidR="00BE353C" w:rsidRPr="00BE353C" w:rsidTr="00AB346D">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3.60</w:t>
            </w:r>
          </w:p>
        </w:tc>
        <w:tc>
          <w:tcPr>
            <w:tcW w:w="8134" w:type="dxa"/>
            <w:shd w:val="clear" w:color="auto" w:fill="auto"/>
          </w:tcPr>
          <w:p w:rsidR="00BE353C" w:rsidRPr="00BE353C" w:rsidRDefault="00424580" w:rsidP="00BE353C">
            <w:pPr>
              <w:spacing w:before="120" w:after="120" w:line="240" w:lineRule="auto"/>
              <w:rPr>
                <w:rFonts w:ascii="Arial" w:eastAsia="Times New Roman" w:hAnsi="Arial" w:cs="Arial"/>
                <w:b/>
                <w:color w:val="000000"/>
                <w:sz w:val="24"/>
                <w:szCs w:val="24"/>
                <w:lang w:val="en-US"/>
              </w:rPr>
            </w:pPr>
            <w:hyperlink w:anchor="r0360" w:history="1">
              <w:r w:rsidR="00BE353C" w:rsidRPr="00BE353C">
                <w:rPr>
                  <w:rFonts w:ascii="Arial" w:eastAsia="Times New Roman" w:hAnsi="Arial" w:cs="Arial"/>
                  <w:b/>
                  <w:color w:val="0000FF"/>
                  <w:sz w:val="24"/>
                  <w:szCs w:val="24"/>
                  <w:u w:val="single"/>
                  <w:lang w:val="en-US"/>
                </w:rPr>
                <w:t>Lodging of reports and statements with sheriff</w:t>
              </w:r>
            </w:hyperlink>
          </w:p>
        </w:tc>
      </w:tr>
      <w:tr w:rsidR="00BE353C" w:rsidRPr="00BE353C" w:rsidTr="00AB346D">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3.61</w:t>
            </w:r>
          </w:p>
        </w:tc>
        <w:tc>
          <w:tcPr>
            <w:tcW w:w="8134" w:type="dxa"/>
            <w:shd w:val="clear" w:color="auto" w:fill="auto"/>
          </w:tcPr>
          <w:p w:rsidR="00BE353C" w:rsidRPr="00BE353C" w:rsidRDefault="00424580" w:rsidP="00BE353C">
            <w:pPr>
              <w:spacing w:before="120" w:after="120" w:line="240" w:lineRule="auto"/>
              <w:rPr>
                <w:rFonts w:ascii="Arial" w:eastAsia="Times New Roman" w:hAnsi="Arial" w:cs="Arial"/>
                <w:b/>
                <w:color w:val="000000"/>
                <w:sz w:val="24"/>
                <w:szCs w:val="24"/>
                <w:lang w:val="en-US"/>
              </w:rPr>
            </w:pPr>
            <w:hyperlink w:anchor="r0361" w:history="1">
              <w:r w:rsidR="00BE353C" w:rsidRPr="00BE353C">
                <w:rPr>
                  <w:rFonts w:ascii="Arial" w:eastAsia="Times New Roman" w:hAnsi="Arial" w:cs="Arial"/>
                  <w:b/>
                  <w:color w:val="0000FF"/>
                  <w:sz w:val="24"/>
                  <w:szCs w:val="24"/>
                  <w:u w:val="single"/>
                  <w:lang w:val="en-US"/>
                </w:rPr>
                <w:t>Hearing</w:t>
              </w:r>
            </w:hyperlink>
          </w:p>
        </w:tc>
      </w:tr>
    </w:tbl>
    <w:p w:rsidR="00BE353C" w:rsidRDefault="00BE353C" w:rsidP="00280752">
      <w:pPr>
        <w:spacing w:after="120" w:line="240" w:lineRule="auto"/>
        <w:rPr>
          <w:rFonts w:ascii="Arial" w:eastAsia="Times New Roman" w:hAnsi="Arial" w:cs="Arial"/>
          <w:b/>
          <w:sz w:val="24"/>
          <w:szCs w:val="24"/>
          <w:lang w:val="en-US"/>
        </w:rPr>
      </w:pPr>
    </w:p>
    <w:p w:rsidR="00BE353C" w:rsidRPr="00BE353C" w:rsidRDefault="00BE353C" w:rsidP="00BE353C">
      <w:pPr>
        <w:spacing w:after="120" w:line="240" w:lineRule="auto"/>
        <w:jc w:val="both"/>
        <w:rPr>
          <w:rFonts w:ascii="Arial" w:eastAsia="Times New Roman" w:hAnsi="Arial" w:cs="Arial"/>
          <w:b/>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bookmarkStart w:id="1" w:name="r0359"/>
      <w:r w:rsidRPr="00BE353C">
        <w:rPr>
          <w:rFonts w:ascii="Arial" w:eastAsia="Times New Roman" w:hAnsi="Arial" w:cs="Arial"/>
          <w:b/>
          <w:bCs/>
          <w:sz w:val="24"/>
          <w:szCs w:val="24"/>
          <w:lang w:val="en-US"/>
        </w:rPr>
        <w:t>Appeals</w:t>
      </w:r>
    </w:p>
    <w:bookmarkEnd w:id="1"/>
    <w:p w:rsidR="00BE353C" w:rsidRPr="00BE353C" w:rsidRDefault="00BE353C" w:rsidP="000B2F11">
      <w:pPr>
        <w:spacing w:after="120" w:line="240" w:lineRule="auto"/>
        <w:ind w:left="720" w:hanging="720"/>
        <w:jc w:val="both"/>
        <w:rPr>
          <w:rFonts w:ascii="Arial" w:eastAsia="Times New Roman" w:hAnsi="Arial" w:cs="Arial"/>
          <w:sz w:val="24"/>
          <w:szCs w:val="24"/>
          <w:lang w:val="en-US"/>
        </w:rPr>
      </w:pPr>
      <w:r w:rsidRPr="00BE353C">
        <w:rPr>
          <w:rFonts w:ascii="Arial" w:eastAsia="Times New Roman" w:hAnsi="Arial" w:cs="Arial"/>
          <w:b/>
          <w:bCs/>
          <w:sz w:val="24"/>
          <w:szCs w:val="24"/>
          <w:lang w:val="en-US"/>
        </w:rPr>
        <w:t>3.59.</w:t>
      </w:r>
      <w:r w:rsidRPr="00BE353C">
        <w:rPr>
          <w:rFonts w:ascii="Arial" w:eastAsia="Times New Roman" w:hAnsi="Arial" w:cs="Arial"/>
          <w:bCs/>
          <w:sz w:val="24"/>
          <w:szCs w:val="24"/>
          <w:lang w:val="en-US"/>
        </w:rPr>
        <w:tab/>
      </w:r>
      <w:r w:rsidRPr="00BE353C">
        <w:rPr>
          <w:rFonts w:ascii="Arial" w:eastAsia="Times New Roman" w:hAnsi="Arial" w:cs="Arial"/>
          <w:sz w:val="24"/>
          <w:szCs w:val="24"/>
          <w:lang w:val="en-US"/>
        </w:rPr>
        <w:t>(1)</w:t>
      </w:r>
      <w:r w:rsidRPr="00BE353C">
        <w:rPr>
          <w:rFonts w:ascii="Arial" w:eastAsia="Times New Roman" w:hAnsi="Arial" w:cs="Arial"/>
          <w:sz w:val="24"/>
          <w:szCs w:val="24"/>
          <w:lang w:val="en-US"/>
        </w:rPr>
        <w:tab/>
        <w:t>An application to the sheriff to state a case for the purposes of an appeal under section 51(11</w:t>
      </w:r>
      <w:proofErr w:type="gramStart"/>
      <w:r w:rsidRPr="00BE353C">
        <w:rPr>
          <w:rFonts w:ascii="Arial" w:eastAsia="Times New Roman" w:hAnsi="Arial" w:cs="Arial"/>
          <w:sz w:val="24"/>
          <w:szCs w:val="24"/>
          <w:lang w:val="en-US"/>
        </w:rPr>
        <w:t>)(</w:t>
      </w:r>
      <w:proofErr w:type="gramEnd"/>
      <w:r w:rsidRPr="00BE353C">
        <w:rPr>
          <w:rFonts w:ascii="Arial" w:eastAsia="Times New Roman" w:hAnsi="Arial" w:cs="Arial"/>
          <w:sz w:val="24"/>
          <w:szCs w:val="24"/>
          <w:lang w:val="en-US"/>
        </w:rPr>
        <w:t>a) of the Act shall specify the point of law upon which the appeal is to proceed or the irregularity in the conduct of the case concerned, as the case may be.</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(2)</w:t>
      </w:r>
      <w:r w:rsidRPr="00BE353C">
        <w:rPr>
          <w:rFonts w:ascii="Arial" w:eastAsia="Times New Roman" w:hAnsi="Arial" w:cs="Arial"/>
          <w:sz w:val="24"/>
          <w:szCs w:val="24"/>
          <w:lang w:val="en-US"/>
        </w:rPr>
        <w:tab/>
        <w:t>The appellant shall, at the same time as lodging the application for a stated case, intimate the lodging of an appeal from the decision of the sheriff-</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in</w:t>
      </w:r>
      <w:proofErr w:type="gramEnd"/>
      <w:r w:rsidRPr="00BE353C">
        <w:rPr>
          <w:rFonts w:ascii="Arial" w:eastAsia="Times New Roman" w:hAnsi="Arial" w:cs="Arial"/>
          <w:sz w:val="24"/>
          <w:szCs w:val="24"/>
          <w:lang w:val="en-US"/>
        </w:rPr>
        <w:t xml:space="preserve"> the case of an appeal under section 51(1) of the Act, to the parties referred to in rule 3.58(4);</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in</w:t>
      </w:r>
      <w:proofErr w:type="gramEnd"/>
      <w:r w:rsidRPr="00BE353C">
        <w:rPr>
          <w:rFonts w:ascii="Arial" w:eastAsia="Times New Roman" w:hAnsi="Arial" w:cs="Arial"/>
          <w:sz w:val="24"/>
          <w:szCs w:val="24"/>
          <w:lang w:val="en-US"/>
        </w:rPr>
        <w:t xml:space="preserve"> the case of an application made under section 65(7) or (9) of the Act, to the parties referred to in rule 3.51(2); and</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in</w:t>
      </w:r>
      <w:proofErr w:type="gramEnd"/>
      <w:r w:rsidRPr="00BE353C">
        <w:rPr>
          <w:rFonts w:ascii="Arial" w:eastAsia="Times New Roman" w:hAnsi="Arial" w:cs="Arial"/>
          <w:sz w:val="24"/>
          <w:szCs w:val="24"/>
          <w:lang w:val="en-US"/>
        </w:rPr>
        <w:t xml:space="preserve"> the case of an application made under section 85(1) of the Act (review of establishment of grounds of referral), to the parties referred to in rule 3.62.</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(3)</w:t>
      </w:r>
      <w:r w:rsidRPr="00BE353C">
        <w:rPr>
          <w:rFonts w:ascii="Arial" w:eastAsia="Times New Roman" w:hAnsi="Arial" w:cs="Arial"/>
          <w:sz w:val="24"/>
          <w:szCs w:val="24"/>
          <w:lang w:val="en-US"/>
        </w:rPr>
        <w:tab/>
        <w:t>The sheriff shall, within 14 days of the lodging of the application for a stated case, issue a draft stated case-</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findings in fact and law or, where appropriate, a narrative of the proceedings before him;</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appropriate questions of law or setting out the irregularity concerned; and</w:t>
      </w:r>
    </w:p>
    <w:p w:rsidR="00BE353C" w:rsidRPr="00BE353C" w:rsidRDefault="00BE353C" w:rsidP="000B2F11">
      <w:pPr>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 note stating the reasons for his decisions in law,</w:t>
      </w:r>
    </w:p>
    <w:p w:rsidR="00BE353C" w:rsidRPr="00BE353C" w:rsidRDefault="00BE353C" w:rsidP="000B2F11">
      <w:pPr>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the sheriff clerk shall send a copy of the draft stated case to the appellant and to parties referred to in paragraph (2).</w:t>
      </w:r>
    </w:p>
    <w:p w:rsidR="00BE353C" w:rsidRPr="00BE353C" w:rsidRDefault="00BE353C" w:rsidP="000B2F11">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(4)</w:t>
      </w:r>
      <w:r w:rsidRPr="00BE353C">
        <w:rPr>
          <w:rFonts w:ascii="Arial" w:eastAsia="Times New Roman" w:hAnsi="Arial" w:cs="Arial"/>
          <w:sz w:val="24"/>
          <w:szCs w:val="24"/>
          <w:lang w:val="en-US"/>
        </w:rPr>
        <w:tab/>
        <w:t>Within 7 days of the issue of the draft stated case-</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lastRenderedPageBreak/>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appellant or a party referred to in paragraph (2) may lodge with the sheriff clerk a note of any adjustments which he seeks to make;</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appellant or such a party may state any point of law which he wishes to raise in the appeal; and</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note of adjustment and, where appropriate, point of law shall be intimated to the appellant and the other such parties.</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(5)</w:t>
      </w:r>
      <w:r w:rsidRPr="00BE353C">
        <w:rPr>
          <w:rFonts w:ascii="Arial" w:eastAsia="Times New Roman" w:hAnsi="Arial" w:cs="Arial"/>
          <w:sz w:val="24"/>
          <w:szCs w:val="24"/>
          <w:lang w:val="en-US"/>
        </w:rPr>
        <w:tab/>
        <w:t>The sheriff may, on the motion of the appellant or a party referred to in paragraph (2) or of his own accord, and shall where he proposes to reject any proposed adjustment, allow a hearing on adjustments and may provide for such further procedure under this rule prior to the hearing of the appeal as he thinks fit.</w:t>
      </w:r>
    </w:p>
    <w:p w:rsidR="00BE353C" w:rsidRPr="00BE353C" w:rsidRDefault="00BE353C" w:rsidP="000B2F11">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(6)</w:t>
      </w:r>
      <w:r w:rsidRPr="00BE353C">
        <w:rPr>
          <w:rFonts w:ascii="Arial" w:eastAsia="Times New Roman" w:hAnsi="Arial" w:cs="Arial"/>
          <w:sz w:val="24"/>
          <w:szCs w:val="24"/>
          <w:lang w:val="en-US"/>
        </w:rPr>
        <w:tab/>
        <w:t>The sheriff shall, within 14 days after-</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latest date on which a note of adjustments has been or may be lodged; or</w:t>
      </w:r>
    </w:p>
    <w:p w:rsidR="00BE353C" w:rsidRPr="00BE353C" w:rsidRDefault="00BE353C" w:rsidP="000B2F11">
      <w:pPr>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where</w:t>
      </w:r>
      <w:proofErr w:type="gramEnd"/>
      <w:r w:rsidRPr="00BE353C">
        <w:rPr>
          <w:rFonts w:ascii="Arial" w:eastAsia="Times New Roman" w:hAnsi="Arial" w:cs="Arial"/>
          <w:sz w:val="24"/>
          <w:szCs w:val="24"/>
          <w:lang w:val="en-US"/>
        </w:rPr>
        <w:t xml:space="preserve"> there has been a hearing on adjustments, that hearing,</w:t>
      </w:r>
    </w:p>
    <w:p w:rsidR="00BE353C" w:rsidRPr="00BE353C" w:rsidRDefault="00BE353C" w:rsidP="000B2F11">
      <w:pPr>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after considering such note and any representations made to him at the hearing, state and sign the case.</w:t>
      </w:r>
    </w:p>
    <w:p w:rsidR="00BE353C" w:rsidRPr="00BE353C" w:rsidRDefault="00BE353C" w:rsidP="000B2F11">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(7)</w:t>
      </w:r>
      <w:r w:rsidRPr="00BE353C">
        <w:rPr>
          <w:rFonts w:ascii="Arial" w:eastAsia="Times New Roman" w:hAnsi="Arial" w:cs="Arial"/>
          <w:sz w:val="24"/>
          <w:szCs w:val="24"/>
          <w:lang w:val="en-US"/>
        </w:rPr>
        <w:tab/>
        <w:t>The stated case signed by the sheriff shall include-</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questions</w:t>
      </w:r>
      <w:proofErr w:type="gramEnd"/>
      <w:r w:rsidRPr="00BE353C">
        <w:rPr>
          <w:rFonts w:ascii="Arial" w:eastAsia="Times New Roman" w:hAnsi="Arial" w:cs="Arial"/>
          <w:sz w:val="24"/>
          <w:szCs w:val="24"/>
          <w:lang w:val="en-US"/>
        </w:rPr>
        <w:t xml:space="preserve"> of law, framed by him, arising from the points of law stated by the parties and such other questions of law as he may consider appropriate;</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any</w:t>
      </w:r>
      <w:proofErr w:type="gramEnd"/>
      <w:r w:rsidRPr="00BE353C">
        <w:rPr>
          <w:rFonts w:ascii="Arial" w:eastAsia="Times New Roman" w:hAnsi="Arial" w:cs="Arial"/>
          <w:sz w:val="24"/>
          <w:szCs w:val="24"/>
          <w:lang w:val="en-US"/>
        </w:rPr>
        <w:t xml:space="preserve"> adjustments, proposed under paragraph (4), which are rejected by him;</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w:t>
      </w:r>
      <w:proofErr w:type="gramEnd"/>
      <w:r w:rsidRPr="00BE353C">
        <w:rPr>
          <w:rFonts w:ascii="Arial" w:eastAsia="Times New Roman" w:hAnsi="Arial" w:cs="Arial"/>
          <w:sz w:val="24"/>
          <w:szCs w:val="24"/>
          <w:lang w:val="en-US"/>
        </w:rPr>
        <w:t xml:space="preserve"> note of the irregularity in the conduct of the case averred by the parties and any questions of law or other issue which he considers arise therefrom,</w:t>
      </w:r>
    </w:p>
    <w:p w:rsidR="00BE353C" w:rsidRPr="00BE353C" w:rsidRDefault="00BE353C" w:rsidP="000B2F11">
      <w:pPr>
        <w:spacing w:after="120" w:line="240" w:lineRule="auto"/>
        <w:ind w:firstLine="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as</w:t>
      </w:r>
      <w:proofErr w:type="gramEnd"/>
      <w:r w:rsidRPr="00BE353C">
        <w:rPr>
          <w:rFonts w:ascii="Arial" w:eastAsia="Times New Roman" w:hAnsi="Arial" w:cs="Arial"/>
          <w:sz w:val="24"/>
          <w:szCs w:val="24"/>
          <w:lang w:val="en-US"/>
        </w:rPr>
        <w:t xml:space="preserve"> the case may be.</w:t>
      </w:r>
    </w:p>
    <w:p w:rsidR="00BE353C" w:rsidRPr="00BE353C" w:rsidRDefault="00BE353C" w:rsidP="000B2F11">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(8)</w:t>
      </w:r>
      <w:r w:rsidRPr="00BE353C">
        <w:rPr>
          <w:rFonts w:ascii="Arial" w:eastAsia="Times New Roman" w:hAnsi="Arial" w:cs="Arial"/>
          <w:sz w:val="24"/>
          <w:szCs w:val="24"/>
          <w:lang w:val="en-US"/>
        </w:rPr>
        <w:tab/>
        <w:t>After the sheriff has signed the stated case, the sheriff clerk shall-</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place</w:t>
      </w:r>
      <w:proofErr w:type="gramEnd"/>
      <w:r w:rsidRPr="00BE353C">
        <w:rPr>
          <w:rFonts w:ascii="Arial" w:eastAsia="Times New Roman" w:hAnsi="Arial" w:cs="Arial"/>
          <w:sz w:val="24"/>
          <w:szCs w:val="24"/>
          <w:lang w:val="en-US"/>
        </w:rPr>
        <w:t xml:space="preserve"> before the sheriff principal all documents and productions in the appeal together with the stated case; and</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send</w:t>
      </w:r>
      <w:proofErr w:type="gramEnd"/>
      <w:r w:rsidRPr="00BE353C">
        <w:rPr>
          <w:rFonts w:ascii="Arial" w:eastAsia="Times New Roman" w:hAnsi="Arial" w:cs="Arial"/>
          <w:sz w:val="24"/>
          <w:szCs w:val="24"/>
          <w:lang w:val="en-US"/>
        </w:rPr>
        <w:t xml:space="preserve"> to the appellant and the parties referred to in paragraph (2) a copy of the stated case together with a written note of the date, time and place of the hearing of the appeal.</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(9)</w:t>
      </w:r>
      <w:r w:rsidRPr="00BE353C">
        <w:rPr>
          <w:rFonts w:ascii="Arial" w:eastAsia="Times New Roman" w:hAnsi="Arial" w:cs="Arial"/>
          <w:sz w:val="24"/>
          <w:szCs w:val="24"/>
          <w:lang w:val="en-US"/>
        </w:rPr>
        <w:tab/>
        <w:t>In the hearing of an appeal, a party referred to in paragraph (2) shall not be allowed to raise questions of law or irregularities in the conduct of the case of which notice has not been given except on cause shown and subject to such conditions as the sheriff principal may consider appropriate.</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(10)</w:t>
      </w:r>
      <w:r w:rsidRPr="00BE353C">
        <w:rPr>
          <w:rFonts w:ascii="Arial" w:eastAsia="Times New Roman" w:hAnsi="Arial" w:cs="Arial"/>
          <w:sz w:val="24"/>
          <w:szCs w:val="24"/>
          <w:lang w:val="en-US"/>
        </w:rPr>
        <w:tab/>
        <w:t>The sheriff may, on an application by any party or of his own motion, reduce any of the periods mentioned in paragraph (3), (4) or (6) to such period or periods as he considers reasonable.</w:t>
      </w:r>
    </w:p>
    <w:p w:rsidR="00BE353C" w:rsidRPr="00BE353C" w:rsidRDefault="00BE353C" w:rsidP="000B2F11">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lastRenderedPageBreak/>
        <w:t>(11)</w:t>
      </w:r>
      <w:r w:rsidRPr="00BE353C">
        <w:rPr>
          <w:rFonts w:ascii="Arial" w:eastAsia="Times New Roman" w:hAnsi="Arial" w:cs="Arial"/>
          <w:sz w:val="24"/>
          <w:szCs w:val="24"/>
          <w:lang w:val="en-US"/>
        </w:rPr>
        <w:tab/>
        <w:t>Where the sheriff is temporarily absent from duty for any reason, the sheriff principal may extend any period specified in paragraph (3) or (6) for such period or periods as he considers reasonable.</w:t>
      </w:r>
    </w:p>
    <w:p w:rsidR="00BE353C" w:rsidRPr="00BE353C" w:rsidRDefault="00BE353C" w:rsidP="00BE353C">
      <w:pPr>
        <w:spacing w:after="120" w:line="240" w:lineRule="auto"/>
        <w:jc w:val="both"/>
        <w:rPr>
          <w:rFonts w:ascii="Arial" w:eastAsia="Times New Roman" w:hAnsi="Arial" w:cs="Arial"/>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bookmarkStart w:id="2" w:name="r0360"/>
      <w:r w:rsidRPr="00BE353C">
        <w:rPr>
          <w:rFonts w:ascii="Arial" w:eastAsia="Times New Roman" w:hAnsi="Arial" w:cs="Arial"/>
          <w:b/>
          <w:bCs/>
          <w:sz w:val="24"/>
          <w:szCs w:val="24"/>
          <w:lang w:val="en-US"/>
        </w:rPr>
        <w:t>Lodging of reports and statements with sheriff</w:t>
      </w:r>
    </w:p>
    <w:bookmarkEnd w:id="2"/>
    <w:p w:rsidR="00BE353C" w:rsidRPr="00BE353C" w:rsidRDefault="00BE353C" w:rsidP="00BE353C">
      <w:pPr>
        <w:spacing w:after="120" w:line="240" w:lineRule="auto"/>
        <w:jc w:val="both"/>
        <w:rPr>
          <w:rFonts w:ascii="Arial" w:eastAsia="Times New Roman" w:hAnsi="Arial" w:cs="Arial"/>
          <w:sz w:val="24"/>
          <w:szCs w:val="24"/>
          <w:lang w:val="en-US"/>
        </w:rPr>
      </w:pPr>
      <w:r w:rsidRPr="00BE353C">
        <w:rPr>
          <w:rFonts w:ascii="Arial" w:eastAsia="Times New Roman" w:hAnsi="Arial" w:cs="Arial"/>
          <w:b/>
          <w:bCs/>
          <w:sz w:val="24"/>
          <w:szCs w:val="24"/>
          <w:lang w:val="en-US"/>
        </w:rPr>
        <w:t>3.60</w:t>
      </w:r>
      <w:r w:rsidRPr="00BE353C">
        <w:rPr>
          <w:rFonts w:ascii="Arial" w:eastAsia="Times New Roman" w:hAnsi="Arial" w:cs="Arial"/>
          <w:bCs/>
          <w:sz w:val="24"/>
          <w:szCs w:val="24"/>
          <w:lang w:val="en-US"/>
        </w:rPr>
        <w:tab/>
      </w:r>
      <w:r w:rsidRPr="00BE353C">
        <w:rPr>
          <w:rFonts w:ascii="Arial" w:eastAsia="Times New Roman" w:hAnsi="Arial" w:cs="Arial"/>
          <w:sz w:val="24"/>
          <w:szCs w:val="24"/>
          <w:lang w:val="en-US"/>
        </w:rPr>
        <w:t>Where, in an appeal-</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it</w:t>
      </w:r>
      <w:proofErr w:type="gramEnd"/>
      <w:r w:rsidRPr="00BE353C">
        <w:rPr>
          <w:rFonts w:ascii="Arial" w:eastAsia="Times New Roman" w:hAnsi="Arial" w:cs="Arial"/>
          <w:sz w:val="24"/>
          <w:szCs w:val="24"/>
          <w:lang w:val="en-US"/>
        </w:rPr>
        <w:t xml:space="preserve"> appears to the sheriff that any report or statement lodged under section 51(2) or (3) of the Act is relevant to any issue which is likely to arise in the stated case; and</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report or statement has been returned to the Principal Reporter,</w:t>
      </w:r>
    </w:p>
    <w:p w:rsidR="00BE353C" w:rsidRPr="00BE353C" w:rsidRDefault="000B2F11" w:rsidP="000B2F11">
      <w:pPr>
        <w:tabs>
          <w:tab w:val="left" w:pos="948"/>
        </w:tabs>
        <w:spacing w:after="120" w:line="240" w:lineRule="auto"/>
        <w:ind w:left="720"/>
        <w:jc w:val="both"/>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00BE353C" w:rsidRPr="00BE353C">
        <w:rPr>
          <w:rFonts w:ascii="Arial" w:eastAsia="Times New Roman" w:hAnsi="Arial" w:cs="Arial"/>
          <w:sz w:val="24"/>
          <w:szCs w:val="24"/>
          <w:lang w:val="en-US"/>
        </w:rPr>
        <w:t>the</w:t>
      </w:r>
      <w:proofErr w:type="gramEnd"/>
      <w:r w:rsidR="00BE353C" w:rsidRPr="00BE353C">
        <w:rPr>
          <w:rFonts w:ascii="Arial" w:eastAsia="Times New Roman" w:hAnsi="Arial" w:cs="Arial"/>
          <w:sz w:val="24"/>
          <w:szCs w:val="24"/>
          <w:lang w:val="en-US"/>
        </w:rPr>
        <w:t xml:space="preserve"> sheriff may require the Principal Reporter to lodge the report or statement with the sheriff clerk.</w:t>
      </w:r>
    </w:p>
    <w:p w:rsidR="00BE353C" w:rsidRPr="00BE353C" w:rsidRDefault="00BE353C" w:rsidP="00BE353C">
      <w:pPr>
        <w:tabs>
          <w:tab w:val="left" w:pos="948"/>
        </w:tabs>
        <w:spacing w:after="120" w:line="240" w:lineRule="auto"/>
        <w:jc w:val="both"/>
        <w:rPr>
          <w:rFonts w:ascii="Arial" w:eastAsia="Times New Roman" w:hAnsi="Arial" w:cs="Arial"/>
          <w:sz w:val="24"/>
          <w:szCs w:val="24"/>
          <w:lang w:val="en-US"/>
        </w:rPr>
      </w:pPr>
    </w:p>
    <w:p w:rsidR="00BE353C" w:rsidRPr="00BE353C" w:rsidRDefault="00BE353C" w:rsidP="00BE353C">
      <w:pPr>
        <w:spacing w:after="120" w:line="240" w:lineRule="auto"/>
        <w:jc w:val="both"/>
        <w:rPr>
          <w:rFonts w:ascii="Arial" w:eastAsia="Times New Roman" w:hAnsi="Arial" w:cs="Arial"/>
          <w:vanish/>
          <w:sz w:val="24"/>
          <w:szCs w:val="24"/>
          <w:lang w:val="en-US"/>
        </w:rPr>
      </w:pPr>
      <w:bookmarkStart w:id="3" w:name="r0361"/>
    </w:p>
    <w:p w:rsidR="00BE353C" w:rsidRPr="00BE353C" w:rsidRDefault="00BE353C" w:rsidP="00BE353C">
      <w:pPr>
        <w:spacing w:after="120" w:line="240" w:lineRule="auto"/>
        <w:jc w:val="both"/>
        <w:rPr>
          <w:rFonts w:ascii="Arial" w:eastAsia="Times New Roman" w:hAnsi="Arial" w:cs="Arial"/>
          <w:vanish/>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r w:rsidRPr="00BE353C">
        <w:rPr>
          <w:rFonts w:ascii="Arial" w:eastAsia="Times New Roman" w:hAnsi="Arial" w:cs="Arial"/>
          <w:b/>
          <w:bCs/>
          <w:sz w:val="24"/>
          <w:szCs w:val="24"/>
          <w:lang w:val="en-US"/>
        </w:rPr>
        <w:t>Hearing</w:t>
      </w:r>
    </w:p>
    <w:bookmarkEnd w:id="3"/>
    <w:p w:rsidR="00BE353C" w:rsidRPr="00BE353C" w:rsidRDefault="00BE353C" w:rsidP="000B2F11">
      <w:pPr>
        <w:spacing w:after="120" w:line="240" w:lineRule="auto"/>
        <w:ind w:left="720" w:hanging="720"/>
        <w:jc w:val="both"/>
        <w:rPr>
          <w:rFonts w:ascii="Arial" w:eastAsia="Times New Roman" w:hAnsi="Arial" w:cs="Arial"/>
          <w:sz w:val="24"/>
          <w:szCs w:val="24"/>
          <w:lang w:val="en-US"/>
        </w:rPr>
      </w:pPr>
      <w:r w:rsidRPr="00BE353C">
        <w:rPr>
          <w:rFonts w:ascii="Arial" w:eastAsia="Times New Roman" w:hAnsi="Arial" w:cs="Arial"/>
          <w:b/>
          <w:bCs/>
          <w:sz w:val="24"/>
          <w:szCs w:val="24"/>
          <w:lang w:val="en-US"/>
        </w:rPr>
        <w:t>3.61</w:t>
      </w:r>
      <w:r w:rsidRPr="00BE353C">
        <w:rPr>
          <w:rFonts w:ascii="Arial" w:eastAsia="Times New Roman" w:hAnsi="Arial" w:cs="Arial"/>
          <w:bCs/>
          <w:sz w:val="24"/>
          <w:szCs w:val="24"/>
          <w:lang w:val="en-US"/>
        </w:rPr>
        <w:tab/>
      </w:r>
      <w:r w:rsidRPr="00BE353C">
        <w:rPr>
          <w:rFonts w:ascii="Arial" w:eastAsia="Times New Roman" w:hAnsi="Arial" w:cs="Arial"/>
          <w:sz w:val="24"/>
          <w:szCs w:val="24"/>
          <w:lang w:val="en-US"/>
        </w:rPr>
        <w:t>(1)</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sheriff principal, on hearing the appeal, may either pronounce his decision or reserve </w:t>
      </w:r>
      <w:proofErr w:type="spellStart"/>
      <w:r w:rsidRPr="00BE353C">
        <w:rPr>
          <w:rFonts w:ascii="Arial" w:eastAsia="Times New Roman" w:hAnsi="Arial" w:cs="Arial"/>
          <w:sz w:val="24"/>
          <w:szCs w:val="24"/>
          <w:lang w:val="en-US"/>
        </w:rPr>
        <w:t>judgement</w:t>
      </w:r>
      <w:proofErr w:type="spellEnd"/>
      <w:r w:rsidRPr="00BE353C">
        <w:rPr>
          <w:rFonts w:ascii="Arial" w:eastAsia="Times New Roman" w:hAnsi="Arial" w:cs="Arial"/>
          <w:sz w:val="24"/>
          <w:szCs w:val="24"/>
          <w:lang w:val="en-US"/>
        </w:rPr>
        <w:t>.</w:t>
      </w:r>
    </w:p>
    <w:p w:rsidR="00BE353C" w:rsidRPr="00BE353C" w:rsidRDefault="00BE353C" w:rsidP="000B2F11">
      <w:pPr>
        <w:spacing w:after="120" w:line="240" w:lineRule="auto"/>
        <w:ind w:left="72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(2)</w:t>
      </w:r>
      <w:r w:rsidRPr="00BE353C">
        <w:rPr>
          <w:rFonts w:ascii="Arial" w:eastAsia="Times New Roman" w:hAnsi="Arial" w:cs="Arial"/>
          <w:sz w:val="24"/>
          <w:szCs w:val="24"/>
          <w:lang w:val="en-US"/>
        </w:rPr>
        <w:tab/>
        <w:t xml:space="preserve">Where </w:t>
      </w:r>
      <w:proofErr w:type="spellStart"/>
      <w:r w:rsidRPr="00BE353C">
        <w:rPr>
          <w:rFonts w:ascii="Arial" w:eastAsia="Times New Roman" w:hAnsi="Arial" w:cs="Arial"/>
          <w:sz w:val="24"/>
          <w:szCs w:val="24"/>
          <w:lang w:val="en-US"/>
        </w:rPr>
        <w:t>judgement</w:t>
      </w:r>
      <w:proofErr w:type="spellEnd"/>
      <w:r w:rsidRPr="00BE353C">
        <w:rPr>
          <w:rFonts w:ascii="Arial" w:eastAsia="Times New Roman" w:hAnsi="Arial" w:cs="Arial"/>
          <w:sz w:val="24"/>
          <w:szCs w:val="24"/>
          <w:lang w:val="en-US"/>
        </w:rPr>
        <w:t xml:space="preserve"> is so reserved, the sheriff principal shall within 28 days give his decision in writing which shall be intimated by the sheriff clerk to the parties.</w:t>
      </w:r>
    </w:p>
    <w:p w:rsidR="00BE353C" w:rsidRPr="00BE353C" w:rsidRDefault="00BE353C" w:rsidP="00BE353C">
      <w:pPr>
        <w:spacing w:after="120" w:line="240" w:lineRule="auto"/>
        <w:jc w:val="both"/>
        <w:rPr>
          <w:rFonts w:ascii="Arial" w:eastAsia="Times New Roman" w:hAnsi="Arial" w:cs="Arial"/>
          <w:sz w:val="24"/>
          <w:szCs w:val="24"/>
          <w:lang w:val="en-US"/>
        </w:rPr>
      </w:pPr>
    </w:p>
    <w:p w:rsidR="00BE353C" w:rsidRPr="00BE353C" w:rsidRDefault="00BE353C" w:rsidP="00BE353C">
      <w:pPr>
        <w:spacing w:after="120" w:line="240" w:lineRule="auto"/>
        <w:jc w:val="both"/>
        <w:rPr>
          <w:rFonts w:ascii="Arial" w:eastAsia="Times New Roman" w:hAnsi="Arial" w:cs="Arial"/>
          <w:sz w:val="24"/>
          <w:szCs w:val="24"/>
          <w:lang w:val="en-US"/>
        </w:rPr>
      </w:pPr>
    </w:p>
    <w:sectPr w:rsidR="00BE353C" w:rsidRPr="00BE353C" w:rsidSect="006C34AB">
      <w:pgSz w:w="11906" w:h="16838"/>
      <w:pgMar w:top="1440" w:right="1440" w:bottom="1440" w:left="1440"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67F57CFD"/>
    <w:multiLevelType w:val="multilevel"/>
    <w:tmpl w:val="562A225A"/>
    <w:lvl w:ilvl="0">
      <w:start w:val="3"/>
      <w:numFmt w:val="decimal"/>
      <w:lvlText w:val="%1"/>
      <w:lvlJc w:val="left"/>
      <w:pPr>
        <w:tabs>
          <w:tab w:val="num" w:pos="720"/>
        </w:tabs>
        <w:ind w:left="720" w:hanging="720"/>
      </w:pPr>
      <w:rPr>
        <w:rFonts w:hint="default"/>
        <w:b/>
      </w:rPr>
    </w:lvl>
    <w:lvl w:ilvl="1">
      <w:start w:val="4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0B2F11"/>
    <w:rsid w:val="002532DF"/>
    <w:rsid w:val="00280752"/>
    <w:rsid w:val="00291C5A"/>
    <w:rsid w:val="00417194"/>
    <w:rsid w:val="00424580"/>
    <w:rsid w:val="00645EAC"/>
    <w:rsid w:val="006F5E24"/>
    <w:rsid w:val="0098145C"/>
    <w:rsid w:val="00B92865"/>
    <w:rsid w:val="00BE353C"/>
    <w:rsid w:val="00BF6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BE353C"/>
  </w:style>
  <w:style w:type="table" w:customStyle="1" w:styleId="TableGrid1">
    <w:name w:val="Table Grid1"/>
    <w:basedOn w:val="TableNormal"/>
    <w:next w:val="TableGrid"/>
    <w:rsid w:val="00BE353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BE353C"/>
  </w:style>
  <w:style w:type="table" w:customStyle="1" w:styleId="TableGrid1">
    <w:name w:val="Table Grid1"/>
    <w:basedOn w:val="TableNormal"/>
    <w:next w:val="TableGrid"/>
    <w:rsid w:val="00BE353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330569862">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 w:id="16582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6</cp:revision>
  <dcterms:created xsi:type="dcterms:W3CDTF">2012-08-29T10:43:00Z</dcterms:created>
  <dcterms:modified xsi:type="dcterms:W3CDTF">2013-05-30T09:59:00Z</dcterms:modified>
</cp:coreProperties>
</file>