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AE" w:rsidRDefault="00D654AE" w:rsidP="00DB205B">
      <w:pPr>
        <w:pStyle w:val="NoSpacing"/>
        <w:rPr>
          <w:b/>
        </w:rPr>
      </w:pPr>
    </w:p>
    <w:p w:rsidR="00D654AE" w:rsidRDefault="00D654AE" w:rsidP="00DB205B">
      <w:pPr>
        <w:pStyle w:val="NoSpacing"/>
        <w:rPr>
          <w:b/>
        </w:rPr>
      </w:pPr>
    </w:p>
    <w:p w:rsidR="00D654AE" w:rsidRPr="004B6332" w:rsidRDefault="00D654AE" w:rsidP="00D654AE">
      <w:pPr>
        <w:pStyle w:val="NoSpacing"/>
        <w:jc w:val="right"/>
        <w:rPr>
          <w:b/>
        </w:rPr>
      </w:pPr>
      <w:r w:rsidRPr="00D654AE">
        <w:rPr>
          <w:noProof/>
          <w:lang w:eastAsia="en-GB"/>
        </w:rPr>
        <w:drawing>
          <wp:inline distT="0" distB="0" distL="0" distR="0" wp14:anchorId="1D82BD39" wp14:editId="3BA1E370">
            <wp:extent cx="2305050" cy="68117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04029" cy="680870"/>
                    </a:xfrm>
                    <a:prstGeom prst="rect">
                      <a:avLst/>
                    </a:prstGeom>
                  </pic:spPr>
                </pic:pic>
              </a:graphicData>
            </a:graphic>
          </wp:inline>
        </w:drawing>
      </w:r>
    </w:p>
    <w:p w:rsidR="00D654AE" w:rsidRDefault="00D654AE" w:rsidP="00DB205B">
      <w:pPr>
        <w:pStyle w:val="NoSpacing"/>
        <w:rPr>
          <w:b/>
        </w:rPr>
      </w:pPr>
    </w:p>
    <w:p w:rsidR="00424007" w:rsidRDefault="00424007" w:rsidP="00424007">
      <w:pPr>
        <w:pStyle w:val="NoSpacing"/>
        <w:rPr>
          <w:b/>
          <w:i/>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AF2AE9" w:rsidRDefault="00AF2AE9" w:rsidP="00AF2AE9">
      <w:pPr>
        <w:pStyle w:val="NoSpacing"/>
        <w:rPr>
          <w:b/>
          <w:color w:val="365F91" w:themeColor="accent1" w:themeShade="BF"/>
          <w:sz w:val="32"/>
          <w:szCs w:val="32"/>
        </w:rPr>
      </w:pPr>
    </w:p>
    <w:p w:rsidR="00356F39" w:rsidRDefault="00356F39" w:rsidP="00AF2AE9">
      <w:pPr>
        <w:pStyle w:val="NoSpacing"/>
        <w:rPr>
          <w:b/>
          <w:color w:val="365F91" w:themeColor="accent1" w:themeShade="BF"/>
          <w:sz w:val="32"/>
          <w:szCs w:val="32"/>
        </w:rPr>
      </w:pPr>
    </w:p>
    <w:p w:rsidR="00356F39" w:rsidRDefault="00356F39" w:rsidP="00AF2AE9">
      <w:pPr>
        <w:pStyle w:val="NoSpacing"/>
        <w:rPr>
          <w:b/>
          <w:color w:val="365F91" w:themeColor="accent1" w:themeShade="BF"/>
          <w:sz w:val="32"/>
          <w:szCs w:val="32"/>
        </w:rPr>
      </w:pPr>
    </w:p>
    <w:p w:rsidR="00356F39" w:rsidRDefault="00356F39" w:rsidP="00AF2AE9">
      <w:pPr>
        <w:pStyle w:val="NoSpacing"/>
        <w:rPr>
          <w:b/>
          <w:color w:val="365F91" w:themeColor="accent1" w:themeShade="BF"/>
          <w:sz w:val="32"/>
          <w:szCs w:val="32"/>
        </w:rPr>
      </w:pPr>
    </w:p>
    <w:p w:rsidR="00356F39" w:rsidRDefault="00356F39" w:rsidP="00AF2AE9">
      <w:pPr>
        <w:pStyle w:val="NoSpacing"/>
        <w:rPr>
          <w:b/>
          <w:color w:val="365F91" w:themeColor="accent1" w:themeShade="BF"/>
          <w:sz w:val="32"/>
          <w:szCs w:val="32"/>
        </w:rPr>
      </w:pPr>
    </w:p>
    <w:p w:rsidR="00356F39" w:rsidRDefault="00356F39" w:rsidP="00AF2AE9">
      <w:pPr>
        <w:pStyle w:val="NoSpacing"/>
        <w:rPr>
          <w:b/>
          <w:color w:val="365F91" w:themeColor="accent1" w:themeShade="BF"/>
          <w:sz w:val="32"/>
          <w:szCs w:val="32"/>
        </w:rPr>
      </w:pPr>
    </w:p>
    <w:p w:rsidR="00356F39" w:rsidRDefault="00356F39" w:rsidP="00AF2AE9">
      <w:pPr>
        <w:pStyle w:val="NoSpacing"/>
        <w:rPr>
          <w:b/>
          <w:color w:val="365F91" w:themeColor="accent1" w:themeShade="BF"/>
          <w:sz w:val="32"/>
          <w:szCs w:val="32"/>
        </w:rPr>
      </w:pPr>
    </w:p>
    <w:p w:rsidR="00356F39" w:rsidRDefault="00356F39" w:rsidP="00AF2AE9">
      <w:pPr>
        <w:pStyle w:val="NoSpacing"/>
        <w:rPr>
          <w:b/>
          <w:color w:val="365F91" w:themeColor="accent1" w:themeShade="BF"/>
          <w:sz w:val="32"/>
          <w:szCs w:val="32"/>
        </w:rPr>
      </w:pPr>
    </w:p>
    <w:p w:rsidR="009A0AE4" w:rsidRDefault="009A0AE4" w:rsidP="009A0AE4">
      <w:pPr>
        <w:pStyle w:val="NoSpacing"/>
        <w:rPr>
          <w:b/>
          <w:color w:val="365F91" w:themeColor="accent1" w:themeShade="BF"/>
          <w:sz w:val="52"/>
          <w:szCs w:val="52"/>
        </w:rPr>
      </w:pPr>
      <w:r>
        <w:rPr>
          <w:b/>
          <w:color w:val="365F91" w:themeColor="accent1" w:themeShade="BF"/>
          <w:sz w:val="52"/>
          <w:szCs w:val="52"/>
        </w:rPr>
        <w:t xml:space="preserve">Evaluation Report No. 2: </w:t>
      </w:r>
    </w:p>
    <w:p w:rsidR="009A0AE4" w:rsidRPr="00B51734" w:rsidRDefault="009A0AE4" w:rsidP="009A0AE4">
      <w:pPr>
        <w:pStyle w:val="NoSpacing"/>
        <w:ind w:left="450"/>
        <w:rPr>
          <w:b/>
          <w:i/>
          <w:color w:val="365F91" w:themeColor="accent1" w:themeShade="BF"/>
          <w:sz w:val="32"/>
          <w:szCs w:val="32"/>
        </w:rPr>
      </w:pPr>
      <w:r w:rsidRPr="00B51734">
        <w:rPr>
          <w:b/>
          <w:i/>
          <w:color w:val="365F91" w:themeColor="accent1" w:themeShade="BF"/>
          <w:sz w:val="32"/>
          <w:szCs w:val="32"/>
        </w:rPr>
        <w:t>– Practice Note 1 of 2017 (Evidence by Commissioner)</w:t>
      </w:r>
    </w:p>
    <w:p w:rsidR="009A0AE4" w:rsidRPr="00346C89" w:rsidRDefault="009A0AE4" w:rsidP="009A0AE4">
      <w:pPr>
        <w:pStyle w:val="NoSpacing"/>
        <w:ind w:left="450"/>
        <w:rPr>
          <w:b/>
          <w:color w:val="365F91" w:themeColor="accent1" w:themeShade="BF"/>
          <w:sz w:val="52"/>
          <w:szCs w:val="52"/>
        </w:rPr>
      </w:pPr>
      <w:r>
        <w:rPr>
          <w:b/>
          <w:color w:val="365F91" w:themeColor="accent1" w:themeShade="BF"/>
          <w:sz w:val="52"/>
          <w:szCs w:val="52"/>
        </w:rPr>
        <w:t xml:space="preserve"> </w:t>
      </w:r>
    </w:p>
    <w:p w:rsidR="009C06C2" w:rsidRPr="005F2C2B" w:rsidRDefault="00230876" w:rsidP="009A0AE4">
      <w:pPr>
        <w:pStyle w:val="NoSpacing"/>
        <w:rPr>
          <w:i/>
          <w:color w:val="365F91" w:themeColor="accent1" w:themeShade="BF"/>
          <w:sz w:val="28"/>
          <w:szCs w:val="28"/>
        </w:rPr>
      </w:pPr>
      <w:r>
        <w:rPr>
          <w:i/>
          <w:color w:val="365F91" w:themeColor="accent1" w:themeShade="BF"/>
          <w:sz w:val="28"/>
          <w:szCs w:val="28"/>
        </w:rPr>
        <w:t>Quantifying</w:t>
      </w:r>
      <w:r w:rsidR="009A0AE4" w:rsidRPr="005F2C2B">
        <w:rPr>
          <w:i/>
          <w:color w:val="365F91" w:themeColor="accent1" w:themeShade="BF"/>
          <w:sz w:val="28"/>
          <w:szCs w:val="28"/>
        </w:rPr>
        <w:t xml:space="preserve"> t</w:t>
      </w:r>
      <w:r w:rsidR="00340051" w:rsidRPr="005F2C2B">
        <w:rPr>
          <w:i/>
          <w:color w:val="365F91" w:themeColor="accent1" w:themeShade="BF"/>
          <w:sz w:val="28"/>
          <w:szCs w:val="28"/>
        </w:rPr>
        <w:t>he end outcomes for</w:t>
      </w:r>
      <w:r w:rsidR="00AF2AE9" w:rsidRPr="005F2C2B">
        <w:rPr>
          <w:i/>
          <w:color w:val="365F91" w:themeColor="accent1" w:themeShade="BF"/>
          <w:sz w:val="28"/>
          <w:szCs w:val="28"/>
        </w:rPr>
        <w:t xml:space="preserve"> </w:t>
      </w:r>
      <w:r w:rsidR="009A0AE4" w:rsidRPr="005F2C2B">
        <w:rPr>
          <w:i/>
          <w:color w:val="365F91" w:themeColor="accent1" w:themeShade="BF"/>
          <w:sz w:val="28"/>
          <w:szCs w:val="28"/>
        </w:rPr>
        <w:t xml:space="preserve">the </w:t>
      </w:r>
      <w:r w:rsidR="00AF2AE9" w:rsidRPr="005F2C2B">
        <w:rPr>
          <w:i/>
          <w:color w:val="365F91" w:themeColor="accent1" w:themeShade="BF"/>
          <w:sz w:val="28"/>
          <w:szCs w:val="28"/>
        </w:rPr>
        <w:t>applications lodged in 2017</w:t>
      </w:r>
      <w:r w:rsidR="00A457F5" w:rsidRPr="005F2C2B">
        <w:rPr>
          <w:i/>
          <w:color w:val="365F91" w:themeColor="accent1" w:themeShade="BF"/>
          <w:sz w:val="28"/>
          <w:szCs w:val="28"/>
        </w:rPr>
        <w:t xml:space="preserve"> </w:t>
      </w:r>
    </w:p>
    <w:p w:rsidR="00AF2AE9" w:rsidRDefault="00AF2AE9">
      <w:pPr>
        <w:spacing w:after="0" w:line="240" w:lineRule="auto"/>
        <w:rPr>
          <w:b/>
          <w:i/>
          <w:color w:val="365F91" w:themeColor="accent1" w:themeShade="BF"/>
          <w:sz w:val="36"/>
          <w:szCs w:val="36"/>
        </w:rPr>
      </w:pPr>
    </w:p>
    <w:p w:rsidR="00AF2AE9" w:rsidRDefault="00AF2AE9">
      <w:pPr>
        <w:spacing w:after="0" w:line="240" w:lineRule="auto"/>
        <w:rPr>
          <w:b/>
          <w:i/>
          <w:color w:val="365F91" w:themeColor="accent1" w:themeShade="BF"/>
          <w:sz w:val="36"/>
          <w:szCs w:val="36"/>
        </w:rPr>
      </w:pPr>
      <w:bookmarkStart w:id="0" w:name="_GoBack"/>
      <w:bookmarkEnd w:id="0"/>
    </w:p>
    <w:p w:rsidR="004C74C1" w:rsidRDefault="001F7455">
      <w:pPr>
        <w:spacing w:after="0" w:line="240" w:lineRule="auto"/>
        <w:rPr>
          <w:i/>
          <w:color w:val="365F91" w:themeColor="accent1" w:themeShade="BF"/>
        </w:rPr>
      </w:pPr>
      <w:r>
        <w:rPr>
          <w:i/>
          <w:color w:val="365F91" w:themeColor="accent1" w:themeShade="BF"/>
        </w:rPr>
        <w:t>Version 1.0</w:t>
      </w:r>
    </w:p>
    <w:p w:rsidR="004C74C1" w:rsidRDefault="004C74C1">
      <w:pPr>
        <w:spacing w:after="0" w:line="240" w:lineRule="auto"/>
        <w:rPr>
          <w:i/>
          <w:color w:val="365F91" w:themeColor="accent1" w:themeShade="BF"/>
        </w:rPr>
      </w:pPr>
    </w:p>
    <w:p w:rsidR="00AF2AE9" w:rsidRPr="004C74C1" w:rsidRDefault="00AF2AE9">
      <w:pPr>
        <w:spacing w:after="0" w:line="240" w:lineRule="auto"/>
        <w:rPr>
          <w:i/>
          <w:color w:val="365F91" w:themeColor="accent1" w:themeShade="BF"/>
        </w:rPr>
      </w:pPr>
      <w:r w:rsidRPr="004C74C1">
        <w:rPr>
          <w:i/>
          <w:color w:val="365F91" w:themeColor="accent1" w:themeShade="BF"/>
        </w:rPr>
        <w:t xml:space="preserve">Issued: </w:t>
      </w:r>
      <w:r w:rsidR="000E7A6B" w:rsidRPr="009F7C7A">
        <w:rPr>
          <w:i/>
          <w:color w:val="365F91" w:themeColor="accent1" w:themeShade="BF"/>
        </w:rPr>
        <w:t>Dec</w:t>
      </w:r>
      <w:r w:rsidR="004C74C1" w:rsidRPr="009F7C7A">
        <w:rPr>
          <w:i/>
          <w:color w:val="365F91" w:themeColor="accent1" w:themeShade="BF"/>
        </w:rPr>
        <w:t>ember 2018</w:t>
      </w:r>
      <w:r w:rsidRPr="004C74C1">
        <w:rPr>
          <w:i/>
          <w:color w:val="365F91" w:themeColor="accent1" w:themeShade="BF"/>
        </w:rPr>
        <w:br w:type="page"/>
      </w:r>
    </w:p>
    <w:p w:rsidR="00424007" w:rsidRPr="006572B1" w:rsidRDefault="00AF2AE9" w:rsidP="00DB205B">
      <w:pPr>
        <w:pStyle w:val="NoSpacing"/>
        <w:rPr>
          <w:b/>
          <w:color w:val="365F91" w:themeColor="accent1" w:themeShade="BF"/>
        </w:rPr>
      </w:pPr>
      <w:r>
        <w:rPr>
          <w:b/>
          <w:color w:val="365F91" w:themeColor="accent1" w:themeShade="BF"/>
        </w:rPr>
        <w:lastRenderedPageBreak/>
        <w:t>INTRODUCTION</w:t>
      </w:r>
    </w:p>
    <w:p w:rsidR="00424007" w:rsidRDefault="00424007" w:rsidP="00DB205B">
      <w:pPr>
        <w:pStyle w:val="NoSpacing"/>
      </w:pPr>
    </w:p>
    <w:p w:rsidR="00AF2AE9" w:rsidRDefault="009A0AE4" w:rsidP="00DB205B">
      <w:pPr>
        <w:pStyle w:val="NoSpacing"/>
        <w:rPr>
          <w:b/>
        </w:rPr>
      </w:pPr>
      <w:r>
        <w:t>The High Court of Justiciary Practice Note (1 of 2017) on the taking of evidence of a vulnerable witness by a Commissioner came into effect on 8 May 2017</w:t>
      </w:r>
      <w:r w:rsidR="00A47FED">
        <w:t>, and is includ</w:t>
      </w:r>
      <w:r w:rsidR="00BA56AC">
        <w:t>ed as appendix 1</w:t>
      </w:r>
      <w:r w:rsidR="005F3B23">
        <w:t>. That</w:t>
      </w:r>
      <w:r>
        <w:t xml:space="preserve"> </w:t>
      </w:r>
      <w:r w:rsidR="004C74C1">
        <w:t xml:space="preserve">new </w:t>
      </w:r>
      <w:r w:rsidR="00BA56AC">
        <w:t>Prac</w:t>
      </w:r>
      <w:r w:rsidR="005F3B23">
        <w:t xml:space="preserve">tice Note arose </w:t>
      </w:r>
      <w:r>
        <w:t>as a consequence of the work of the Evidence and Procedure working group, led by Lady Do</w:t>
      </w:r>
      <w:r w:rsidR="00F755B5">
        <w:t>r</w:t>
      </w:r>
      <w:r>
        <w:t xml:space="preserve">rian, on the pre-recording of evidence from children and other vulnerable witnesses.   </w:t>
      </w:r>
    </w:p>
    <w:p w:rsidR="008E46B3" w:rsidRDefault="008E46B3" w:rsidP="00DB205B">
      <w:pPr>
        <w:pStyle w:val="NoSpacing"/>
        <w:rPr>
          <w:b/>
        </w:rPr>
      </w:pPr>
    </w:p>
    <w:p w:rsidR="009A0AE4" w:rsidRDefault="009A0AE4" w:rsidP="00DB205B">
      <w:pPr>
        <w:pStyle w:val="NoSpacing"/>
      </w:pPr>
      <w:r>
        <w:t xml:space="preserve">This </w:t>
      </w:r>
      <w:r w:rsidR="00BA56AC" w:rsidRPr="005F3B23">
        <w:rPr>
          <w:i/>
        </w:rPr>
        <w:t>Evaluation Report</w:t>
      </w:r>
      <w:r w:rsidR="00BA56AC">
        <w:t xml:space="preserve"> </w:t>
      </w:r>
      <w:r>
        <w:t xml:space="preserve">is part of </w:t>
      </w:r>
      <w:r w:rsidR="00BA56AC">
        <w:t>a series being undertaken</w:t>
      </w:r>
      <w:r>
        <w:t xml:space="preserve"> to </w:t>
      </w:r>
      <w:r w:rsidR="005A2AAC">
        <w:t xml:space="preserve">help </w:t>
      </w:r>
      <w:r w:rsidR="005F3B23">
        <w:t xml:space="preserve">monitor the </w:t>
      </w:r>
      <w:r w:rsidR="004C74C1">
        <w:t>operational impact of</w:t>
      </w:r>
      <w:r w:rsidR="005F3B23">
        <w:t xml:space="preserve"> that</w:t>
      </w:r>
      <w:r>
        <w:t xml:space="preserve"> </w:t>
      </w:r>
      <w:r w:rsidR="005F3B23">
        <w:t>Practice N</w:t>
      </w:r>
      <w:r>
        <w:t>ote:</w:t>
      </w:r>
    </w:p>
    <w:p w:rsidR="009A0AE4" w:rsidRDefault="009A0AE4" w:rsidP="00DB205B">
      <w:pPr>
        <w:pStyle w:val="NoSpacing"/>
      </w:pPr>
    </w:p>
    <w:p w:rsidR="009A0AE4" w:rsidRPr="009A0AE4" w:rsidRDefault="009A0AE4" w:rsidP="00530963">
      <w:pPr>
        <w:pStyle w:val="NoSpacing"/>
        <w:ind w:left="720"/>
      </w:pPr>
      <w:r w:rsidRPr="00530963">
        <w:rPr>
          <w:i/>
        </w:rPr>
        <w:t xml:space="preserve">Evaluation Report Number 1 </w:t>
      </w:r>
      <w:r w:rsidR="00530963" w:rsidRPr="00530963">
        <w:rPr>
          <w:i/>
        </w:rPr>
        <w:t>(</w:t>
      </w:r>
      <w:r w:rsidR="005A2AAC">
        <w:rPr>
          <w:i/>
        </w:rPr>
        <w:t>published Oct</w:t>
      </w:r>
      <w:r w:rsidRPr="00530963">
        <w:rPr>
          <w:i/>
        </w:rPr>
        <w:t xml:space="preserve"> 2018</w:t>
      </w:r>
      <w:r w:rsidR="00530963" w:rsidRPr="00530963">
        <w:rPr>
          <w:i/>
        </w:rPr>
        <w:t>)</w:t>
      </w:r>
      <w:r w:rsidR="00530963">
        <w:t xml:space="preserve"> – </w:t>
      </w:r>
      <w:r w:rsidR="00F755B5">
        <w:t>confirmed</w:t>
      </w:r>
      <w:r>
        <w:t xml:space="preserve"> the guidance </w:t>
      </w:r>
      <w:r w:rsidR="00F755B5">
        <w:t xml:space="preserve">issued </w:t>
      </w:r>
      <w:r w:rsidR="00530963">
        <w:t>was addressing the gaps identified</w:t>
      </w:r>
      <w:r w:rsidR="008114CD">
        <w:t xml:space="preserve"> by the working group</w:t>
      </w:r>
      <w:r w:rsidR="00BA56AC">
        <w:t>.</w:t>
      </w:r>
      <w:r>
        <w:t xml:space="preserve"> </w:t>
      </w:r>
    </w:p>
    <w:p w:rsidR="008E46B3" w:rsidRDefault="008E46B3" w:rsidP="00530963">
      <w:pPr>
        <w:pStyle w:val="NoSpacing"/>
        <w:ind w:left="720"/>
      </w:pPr>
    </w:p>
    <w:p w:rsidR="008E46B3" w:rsidRDefault="00530963" w:rsidP="00530963">
      <w:pPr>
        <w:pStyle w:val="NoSpacing"/>
        <w:ind w:left="720"/>
      </w:pPr>
      <w:r w:rsidRPr="005A2AAC">
        <w:rPr>
          <w:i/>
        </w:rPr>
        <w:t>Evaluation Report No. 2 (this paper)</w:t>
      </w:r>
      <w:r>
        <w:t xml:space="preserve"> – establishes a quantified </w:t>
      </w:r>
      <w:r w:rsidR="008E46B3">
        <w:t xml:space="preserve">baseline </w:t>
      </w:r>
      <w:r w:rsidR="00F755B5">
        <w:t>to</w:t>
      </w:r>
      <w:r>
        <w:t xml:space="preserve"> </w:t>
      </w:r>
      <w:r w:rsidR="00BA56AC">
        <w:t>help</w:t>
      </w:r>
      <w:r w:rsidR="004C74C1">
        <w:t xml:space="preserve"> inform </w:t>
      </w:r>
      <w:r w:rsidR="0012227D">
        <w:t xml:space="preserve">future </w:t>
      </w:r>
      <w:r w:rsidR="004C74C1">
        <w:t>performance monitoring</w:t>
      </w:r>
      <w:r w:rsidR="00BA56AC">
        <w:t>.</w:t>
      </w:r>
    </w:p>
    <w:p w:rsidR="0005664B" w:rsidRDefault="0005664B" w:rsidP="0005664B">
      <w:pPr>
        <w:pStyle w:val="NoSpacing"/>
      </w:pPr>
    </w:p>
    <w:p w:rsidR="008E46B3" w:rsidRPr="00DC3B17" w:rsidRDefault="00DC3B17" w:rsidP="0005664B">
      <w:pPr>
        <w:pStyle w:val="NoSpacing"/>
        <w:rPr>
          <w:b/>
        </w:rPr>
      </w:pPr>
      <w:r w:rsidRPr="00DC3B17">
        <w:rPr>
          <w:b/>
        </w:rPr>
        <w:t>The Methodology</w:t>
      </w:r>
    </w:p>
    <w:p w:rsidR="008E46B3" w:rsidRDefault="008E46B3" w:rsidP="0005664B">
      <w:pPr>
        <w:pStyle w:val="NoSpacing"/>
      </w:pPr>
    </w:p>
    <w:p w:rsidR="003E23C3" w:rsidRDefault="004068D4" w:rsidP="0005664B">
      <w:pPr>
        <w:pStyle w:val="NoSpacing"/>
      </w:pPr>
      <w:r>
        <w:t>Where</w:t>
      </w:r>
      <w:r w:rsidR="00FA354C">
        <w:t xml:space="preserve"> a v</w:t>
      </w:r>
      <w:r w:rsidR="00B97969">
        <w:t>ulnerable w</w:t>
      </w:r>
      <w:r w:rsidR="00FA354C">
        <w:t>itness is</w:t>
      </w:r>
      <w:r w:rsidR="00FA354C" w:rsidRPr="00FA354C">
        <w:t xml:space="preserve"> cited</w:t>
      </w:r>
      <w:r w:rsidR="00FA354C">
        <w:rPr>
          <w:i/>
        </w:rPr>
        <w:t xml:space="preserve"> </w:t>
      </w:r>
      <w:r w:rsidR="00FA354C" w:rsidRPr="00FA354C">
        <w:t>to appear</w:t>
      </w:r>
      <w:r w:rsidR="00FA354C">
        <w:rPr>
          <w:i/>
        </w:rPr>
        <w:t xml:space="preserve"> </w:t>
      </w:r>
      <w:r w:rsidR="00FA354C">
        <w:t>in criminal procee</w:t>
      </w:r>
      <w:r w:rsidR="00A20956">
        <w:t>dings the parties</w:t>
      </w:r>
      <w:r w:rsidR="00FA354C">
        <w:t xml:space="preserve"> may</w:t>
      </w:r>
      <w:r w:rsidR="00B97969">
        <w:t xml:space="preserve"> apply to use the </w:t>
      </w:r>
      <w:r w:rsidR="009B502E">
        <w:t xml:space="preserve">non-standard </w:t>
      </w:r>
      <w:r w:rsidR="005652BA">
        <w:t>“</w:t>
      </w:r>
      <w:r w:rsidR="00B97969">
        <w:t>special measure</w:t>
      </w:r>
      <w:r w:rsidR="005652BA">
        <w:t>”</w:t>
      </w:r>
      <w:r w:rsidR="00B97969">
        <w:t xml:space="preserve"> of taking </w:t>
      </w:r>
      <w:r w:rsidR="00FA354C">
        <w:rPr>
          <w:i/>
        </w:rPr>
        <w:t>Evidence by Commissioner</w:t>
      </w:r>
      <w:r w:rsidR="00B97969">
        <w:t xml:space="preserve">.  </w:t>
      </w:r>
      <w:r w:rsidR="0012227D">
        <w:t>T</w:t>
      </w:r>
      <w:r w:rsidR="00A34C02">
        <w:t>his paper</w:t>
      </w:r>
      <w:r w:rsidR="0012227D">
        <w:t xml:space="preserve"> </w:t>
      </w:r>
      <w:r w:rsidR="00DC3B17">
        <w:t xml:space="preserve">sets out the generic steps involved </w:t>
      </w:r>
      <w:r w:rsidR="008114CD">
        <w:t>as witness’s progress</w:t>
      </w:r>
      <w:r w:rsidR="00DC3B17">
        <w:t xml:space="preserve"> through that </w:t>
      </w:r>
      <w:r w:rsidR="004C74C1">
        <w:t xml:space="preserve">criminal court procedure and </w:t>
      </w:r>
      <w:r w:rsidR="006E5342">
        <w:t>document</w:t>
      </w:r>
      <w:r w:rsidR="0012227D">
        <w:t>s</w:t>
      </w:r>
      <w:r w:rsidR="006E5342">
        <w:t xml:space="preserve"> </w:t>
      </w:r>
      <w:r w:rsidR="00B97969">
        <w:t xml:space="preserve">the end </w:t>
      </w:r>
      <w:r w:rsidR="0005664B">
        <w:t>outcome</w:t>
      </w:r>
      <w:r w:rsidR="003E23C3">
        <w:t xml:space="preserve">s </w:t>
      </w:r>
      <w:r w:rsidR="004C74C1">
        <w:t xml:space="preserve">at each stage </w:t>
      </w:r>
      <w:r w:rsidR="003E23C3">
        <w:t xml:space="preserve">for </w:t>
      </w:r>
      <w:r w:rsidR="004C74C1">
        <w:t>the</w:t>
      </w:r>
      <w:r w:rsidR="000735C1">
        <w:t xml:space="preserve"> </w:t>
      </w:r>
      <w:r w:rsidR="003E23C3">
        <w:t>application</w:t>
      </w:r>
      <w:r w:rsidR="004C74C1">
        <w:t>s</w:t>
      </w:r>
      <w:r w:rsidR="00FA354C">
        <w:t xml:space="preserve"> </w:t>
      </w:r>
      <w:r w:rsidR="00B97969">
        <w:t xml:space="preserve">lodged </w:t>
      </w:r>
      <w:r w:rsidR="00FA354C">
        <w:t xml:space="preserve">with the High Court </w:t>
      </w:r>
      <w:r w:rsidR="0012227D">
        <w:t xml:space="preserve">over a defined sample period - </w:t>
      </w:r>
      <w:r w:rsidR="00FA354C">
        <w:t xml:space="preserve">the </w:t>
      </w:r>
      <w:r w:rsidR="00B97969">
        <w:t>2017</w:t>
      </w:r>
      <w:r w:rsidR="00FA354C">
        <w:t xml:space="preserve"> calendar year</w:t>
      </w:r>
      <w:r w:rsidR="00B97969">
        <w:t>.</w:t>
      </w:r>
    </w:p>
    <w:p w:rsidR="00B97969" w:rsidRDefault="00B97969" w:rsidP="0005664B">
      <w:pPr>
        <w:pStyle w:val="NoSpacing"/>
      </w:pPr>
    </w:p>
    <w:p w:rsidR="00AC3F75" w:rsidRDefault="00204EB2" w:rsidP="00DB205B">
      <w:pPr>
        <w:pStyle w:val="NoSpacing"/>
      </w:pPr>
      <w:r>
        <w:t>Readers should not</w:t>
      </w:r>
      <w:r w:rsidR="0012227D">
        <w:t>e that</w:t>
      </w:r>
      <w:r w:rsidR="0012227D" w:rsidRPr="0012227D">
        <w:t xml:space="preserve"> </w:t>
      </w:r>
      <w:r w:rsidR="00356F39">
        <w:t>“</w:t>
      </w:r>
      <w:r w:rsidR="0012227D">
        <w:t>outcome</w:t>
      </w:r>
      <w:r w:rsidR="00356F39">
        <w:t>s”</w:t>
      </w:r>
      <w:r w:rsidR="0012227D">
        <w:t xml:space="preserve"> can only be identified </w:t>
      </w:r>
      <w:r w:rsidR="001322B2">
        <w:t xml:space="preserve">once </w:t>
      </w:r>
      <w:r w:rsidR="0005664B">
        <w:t xml:space="preserve">all </w:t>
      </w:r>
      <w:r w:rsidR="008114CD">
        <w:t xml:space="preserve">of </w:t>
      </w:r>
      <w:r w:rsidR="00FA354C">
        <w:t xml:space="preserve">the </w:t>
      </w:r>
      <w:r w:rsidR="005F779C">
        <w:t xml:space="preserve">criminal </w:t>
      </w:r>
      <w:r w:rsidR="0005664B">
        <w:t xml:space="preserve">cases </w:t>
      </w:r>
      <w:r w:rsidR="004068D4">
        <w:t>where</w:t>
      </w:r>
      <w:r w:rsidR="001322B2">
        <w:t xml:space="preserve"> an application was made </w:t>
      </w:r>
      <w:r w:rsidR="0005664B">
        <w:t xml:space="preserve">have </w:t>
      </w:r>
      <w:r w:rsidR="001322B2">
        <w:t xml:space="preserve">either </w:t>
      </w:r>
      <w:r w:rsidR="0005664B">
        <w:t xml:space="preserve">proceeded to trial, or </w:t>
      </w:r>
      <w:r w:rsidR="001322B2">
        <w:t xml:space="preserve">have </w:t>
      </w:r>
      <w:r w:rsidR="00DD6A70">
        <w:t>otherwise</w:t>
      </w:r>
      <w:r w:rsidR="008C3872">
        <w:t xml:space="preserve"> been </w:t>
      </w:r>
      <w:r w:rsidR="005F779C">
        <w:t xml:space="preserve">disposed of.  </w:t>
      </w:r>
      <w:r w:rsidR="00DD6A70">
        <w:t xml:space="preserve"> </w:t>
      </w:r>
      <w:r w:rsidR="001322B2">
        <w:t>In practice that means</w:t>
      </w:r>
      <w:r w:rsidR="00787AB9">
        <w:t xml:space="preserve"> </w:t>
      </w:r>
      <w:r w:rsidR="004C74C1">
        <w:t xml:space="preserve">an </w:t>
      </w:r>
      <w:r w:rsidR="005652BA">
        <w:t xml:space="preserve">outcome </w:t>
      </w:r>
      <w:r w:rsidR="00356F39">
        <w:t>focused</w:t>
      </w:r>
      <w:r w:rsidR="005652BA">
        <w:t xml:space="preserve"> </w:t>
      </w:r>
      <w:r w:rsidR="00DC3B17">
        <w:t xml:space="preserve">view </w:t>
      </w:r>
      <w:r w:rsidR="005652BA">
        <w:t>can</w:t>
      </w:r>
      <w:r>
        <w:t xml:space="preserve"> </w:t>
      </w:r>
      <w:r w:rsidR="002353FD">
        <w:t xml:space="preserve">only </w:t>
      </w:r>
      <w:r w:rsidR="005652BA">
        <w:t xml:space="preserve">be </w:t>
      </w:r>
      <w:r>
        <w:t xml:space="preserve">generated </w:t>
      </w:r>
      <w:r w:rsidR="00787AB9">
        <w:t xml:space="preserve">once </w:t>
      </w:r>
      <w:r>
        <w:t xml:space="preserve">the </w:t>
      </w:r>
      <w:r w:rsidR="00787AB9">
        <w:t xml:space="preserve">case progression </w:t>
      </w:r>
      <w:r>
        <w:t xml:space="preserve">cycle </w:t>
      </w:r>
      <w:r w:rsidR="0023209C">
        <w:t xml:space="preserve">is complete and </w:t>
      </w:r>
      <w:r w:rsidR="004C74C1">
        <w:t xml:space="preserve">all of </w:t>
      </w:r>
      <w:r w:rsidR="0023209C">
        <w:t>the</w:t>
      </w:r>
      <w:r w:rsidR="00787AB9">
        <w:t xml:space="preserve"> relevant trials have taken place.</w:t>
      </w:r>
    </w:p>
    <w:p w:rsidR="00424007" w:rsidRDefault="00424007" w:rsidP="00DB205B">
      <w:pPr>
        <w:pStyle w:val="NoSpacing"/>
      </w:pPr>
    </w:p>
    <w:p w:rsidR="00424007" w:rsidRDefault="00424007" w:rsidP="00DB205B">
      <w:pPr>
        <w:pStyle w:val="NoSpacing"/>
      </w:pPr>
    </w:p>
    <w:p w:rsidR="00581224" w:rsidRPr="00CC6682" w:rsidRDefault="00424007" w:rsidP="00DB205B">
      <w:pPr>
        <w:pStyle w:val="NoSpacing"/>
        <w:rPr>
          <w:b/>
        </w:rPr>
      </w:pPr>
      <w:r>
        <w:rPr>
          <w:b/>
        </w:rPr>
        <w:t xml:space="preserve">The </w:t>
      </w:r>
      <w:r w:rsidR="00D45C65">
        <w:rPr>
          <w:b/>
        </w:rPr>
        <w:t>Baseline (f</w:t>
      </w:r>
      <w:r w:rsidR="005652BA">
        <w:rPr>
          <w:b/>
        </w:rPr>
        <w:t>r</w:t>
      </w:r>
      <w:r w:rsidR="00D45C65">
        <w:rPr>
          <w:b/>
        </w:rPr>
        <w:t>om</w:t>
      </w:r>
      <w:r w:rsidR="005652BA">
        <w:rPr>
          <w:b/>
        </w:rPr>
        <w:t xml:space="preserve"> </w:t>
      </w:r>
      <w:r w:rsidR="00DC3B17">
        <w:rPr>
          <w:b/>
        </w:rPr>
        <w:t xml:space="preserve">the </w:t>
      </w:r>
      <w:r w:rsidR="005652BA">
        <w:rPr>
          <w:b/>
        </w:rPr>
        <w:t>2017</w:t>
      </w:r>
      <w:r w:rsidR="00DC3B17">
        <w:rPr>
          <w:b/>
        </w:rPr>
        <w:t xml:space="preserve"> calendar year</w:t>
      </w:r>
      <w:r w:rsidR="005652BA">
        <w:rPr>
          <w:b/>
        </w:rPr>
        <w:t>)</w:t>
      </w:r>
    </w:p>
    <w:p w:rsidR="00AC3F75" w:rsidRDefault="00AC3F75" w:rsidP="00DB205B">
      <w:pPr>
        <w:pStyle w:val="NoSpacing"/>
      </w:pPr>
    </w:p>
    <w:p w:rsidR="00204EB2" w:rsidRDefault="00D13A36" w:rsidP="00DB205B">
      <w:pPr>
        <w:pStyle w:val="NoSpacing"/>
      </w:pPr>
      <w:r>
        <w:t xml:space="preserve">For the 2017 calendar year </w:t>
      </w:r>
      <w:r w:rsidR="00F35441">
        <w:t>a total of 50 applications were received</w:t>
      </w:r>
      <w:r w:rsidR="000832E8">
        <w:t xml:space="preserve"> </w:t>
      </w:r>
      <w:r w:rsidR="00F566F4">
        <w:t xml:space="preserve">for </w:t>
      </w:r>
      <w:r w:rsidR="00DD6A70">
        <w:t>a witness to provide</w:t>
      </w:r>
      <w:r w:rsidR="00F566F4">
        <w:t xml:space="preserve"> evidence on commission </w:t>
      </w:r>
      <w:r w:rsidR="00204EB2">
        <w:t>in High Court cases.</w:t>
      </w:r>
    </w:p>
    <w:p w:rsidR="00204EB2" w:rsidRDefault="00204EB2" w:rsidP="00DB205B">
      <w:pPr>
        <w:pStyle w:val="NoSpacing"/>
      </w:pPr>
    </w:p>
    <w:p w:rsidR="002C3950" w:rsidRDefault="005652BA" w:rsidP="00DB205B">
      <w:pPr>
        <w:pStyle w:val="NoSpacing"/>
      </w:pPr>
      <w:r>
        <w:t xml:space="preserve">For </w:t>
      </w:r>
      <w:r w:rsidR="0023209C">
        <w:t>each subsequent stage</w:t>
      </w:r>
      <w:r>
        <w:t xml:space="preserve"> in this procedure the </w:t>
      </w:r>
      <w:r w:rsidR="000E7A6B">
        <w:t>outcomes</w:t>
      </w:r>
      <w:r w:rsidR="00EA52B6">
        <w:t xml:space="preserve"> </w:t>
      </w:r>
      <w:r w:rsidR="000832E8">
        <w:t>were</w:t>
      </w:r>
      <w:r w:rsidR="00D13A36">
        <w:t>:</w:t>
      </w:r>
    </w:p>
    <w:p w:rsidR="00663675" w:rsidRDefault="00663675" w:rsidP="00DB205B">
      <w:pPr>
        <w:pStyle w:val="NoSpacing"/>
      </w:pPr>
    </w:p>
    <w:p w:rsidR="00D13A36" w:rsidRPr="00663675" w:rsidRDefault="00581224" w:rsidP="000735C1">
      <w:pPr>
        <w:pStyle w:val="NoSpacing"/>
        <w:numPr>
          <w:ilvl w:val="0"/>
          <w:numId w:val="3"/>
        </w:numPr>
        <w:ind w:left="360"/>
        <w:rPr>
          <w:i/>
        </w:rPr>
      </w:pPr>
      <w:r>
        <w:t xml:space="preserve">66% </w:t>
      </w:r>
      <w:r w:rsidR="00B97969">
        <w:t xml:space="preserve">/ </w:t>
      </w:r>
      <w:r w:rsidR="00A34C02">
        <w:t>33</w:t>
      </w:r>
      <w:r>
        <w:t xml:space="preserve"> </w:t>
      </w:r>
      <w:r w:rsidR="000832E8">
        <w:t>of the applications</w:t>
      </w:r>
      <w:r>
        <w:t xml:space="preserve"> </w:t>
      </w:r>
      <w:r w:rsidR="00424007">
        <w:t xml:space="preserve">made </w:t>
      </w:r>
      <w:r w:rsidR="000735C1">
        <w:t xml:space="preserve">were </w:t>
      </w:r>
      <w:r w:rsidR="00A34C02">
        <w:t xml:space="preserve">called </w:t>
      </w:r>
      <w:r w:rsidR="009F7C7A">
        <w:rPr>
          <w:i/>
        </w:rPr>
        <w:t>(at a procedural</w:t>
      </w:r>
      <w:r w:rsidRPr="00836D14">
        <w:rPr>
          <w:i/>
        </w:rPr>
        <w:t xml:space="preserve"> hearing</w:t>
      </w:r>
      <w:r w:rsidR="00A34C02" w:rsidRPr="00836D14">
        <w:rPr>
          <w:i/>
        </w:rPr>
        <w:t>)</w:t>
      </w:r>
      <w:r w:rsidR="00CC6682">
        <w:t>;</w:t>
      </w:r>
      <w:r>
        <w:t xml:space="preserve"> </w:t>
      </w:r>
    </w:p>
    <w:p w:rsidR="00663675" w:rsidRPr="00AC3F75" w:rsidRDefault="00663675" w:rsidP="000735C1">
      <w:pPr>
        <w:pStyle w:val="NoSpacing"/>
        <w:ind w:left="360"/>
        <w:rPr>
          <w:i/>
        </w:rPr>
      </w:pPr>
    </w:p>
    <w:p w:rsidR="00581224" w:rsidRPr="00663675" w:rsidRDefault="00B97969" w:rsidP="000735C1">
      <w:pPr>
        <w:pStyle w:val="NoSpacing"/>
        <w:numPr>
          <w:ilvl w:val="0"/>
          <w:numId w:val="3"/>
        </w:numPr>
        <w:ind w:left="360"/>
        <w:rPr>
          <w:i/>
        </w:rPr>
      </w:pPr>
      <w:r>
        <w:t xml:space="preserve">58% / </w:t>
      </w:r>
      <w:r w:rsidR="00581224">
        <w:t>29</w:t>
      </w:r>
      <w:r w:rsidR="00836D14">
        <w:t xml:space="preserve"> witnesses did </w:t>
      </w:r>
      <w:r w:rsidR="000735C1">
        <w:t>have</w:t>
      </w:r>
      <w:r w:rsidR="00CC6682">
        <w:t xml:space="preserve"> </w:t>
      </w:r>
      <w:r w:rsidR="00AC3F75">
        <w:t xml:space="preserve">their </w:t>
      </w:r>
      <w:r w:rsidR="00CC6682">
        <w:t>evidence recorded</w:t>
      </w:r>
      <w:r w:rsidR="00581224">
        <w:t xml:space="preserve"> </w:t>
      </w:r>
      <w:r w:rsidR="00A34C02" w:rsidRPr="00836D14">
        <w:rPr>
          <w:i/>
        </w:rPr>
        <w:t>(</w:t>
      </w:r>
      <w:r w:rsidR="00581224" w:rsidRPr="00836D14">
        <w:rPr>
          <w:i/>
        </w:rPr>
        <w:t xml:space="preserve">at </w:t>
      </w:r>
      <w:r w:rsidR="00CC6682" w:rsidRPr="00836D14">
        <w:rPr>
          <w:i/>
        </w:rPr>
        <w:t>a</w:t>
      </w:r>
      <w:r w:rsidR="00581224" w:rsidRPr="00836D14">
        <w:rPr>
          <w:i/>
        </w:rPr>
        <w:t xml:space="preserve"> commission hearing</w:t>
      </w:r>
      <w:r w:rsidR="00A34C02" w:rsidRPr="00836D14">
        <w:rPr>
          <w:i/>
        </w:rPr>
        <w:t>)</w:t>
      </w:r>
      <w:r w:rsidR="005273ED" w:rsidRPr="00B97969">
        <w:t>;</w:t>
      </w:r>
      <w:r w:rsidR="00F566F4" w:rsidRPr="00B97969">
        <w:t xml:space="preserve"> </w:t>
      </w:r>
    </w:p>
    <w:p w:rsidR="00663675" w:rsidRPr="00AC3F75" w:rsidRDefault="00663675" w:rsidP="000735C1">
      <w:pPr>
        <w:pStyle w:val="NoSpacing"/>
        <w:ind w:left="360"/>
        <w:rPr>
          <w:i/>
        </w:rPr>
      </w:pPr>
    </w:p>
    <w:p w:rsidR="00CC6682" w:rsidRPr="00663675" w:rsidRDefault="00B97969" w:rsidP="000735C1">
      <w:pPr>
        <w:pStyle w:val="NoSpacing"/>
        <w:numPr>
          <w:ilvl w:val="0"/>
          <w:numId w:val="3"/>
        </w:numPr>
        <w:ind w:left="360"/>
        <w:rPr>
          <w:i/>
        </w:rPr>
      </w:pPr>
      <w:r>
        <w:t xml:space="preserve">50% / </w:t>
      </w:r>
      <w:r w:rsidR="00CC6682">
        <w:t>25 witnesses</w:t>
      </w:r>
      <w:r w:rsidR="005652BA">
        <w:t xml:space="preserve"> had their</w:t>
      </w:r>
      <w:r w:rsidR="00CC6682">
        <w:t xml:space="preserve"> pre-recorded evidence played at trial</w:t>
      </w:r>
      <w:r w:rsidR="00F566F4">
        <w:t>; and</w:t>
      </w:r>
    </w:p>
    <w:p w:rsidR="00663675" w:rsidRPr="00F566F4" w:rsidRDefault="00663675" w:rsidP="000735C1">
      <w:pPr>
        <w:pStyle w:val="NoSpacing"/>
        <w:ind w:left="360"/>
        <w:rPr>
          <w:i/>
        </w:rPr>
      </w:pPr>
    </w:p>
    <w:p w:rsidR="00F566F4" w:rsidRPr="00F566F4" w:rsidRDefault="005652BA" w:rsidP="005652BA">
      <w:pPr>
        <w:pStyle w:val="NoSpacing"/>
      </w:pPr>
      <w:r>
        <w:t xml:space="preserve">The </w:t>
      </w:r>
      <w:r w:rsidR="0023209C">
        <w:t>ultimate</w:t>
      </w:r>
      <w:r>
        <w:t xml:space="preserve"> outcome is that</w:t>
      </w:r>
      <w:r w:rsidR="00DC3B17">
        <w:t>,</w:t>
      </w:r>
      <w:r>
        <w:t xml:space="preserve"> </w:t>
      </w:r>
      <w:r w:rsidR="00DC3B17">
        <w:t xml:space="preserve">for </w:t>
      </w:r>
      <w:r>
        <w:t>t</w:t>
      </w:r>
      <w:r w:rsidR="00F566F4" w:rsidRPr="00F566F4">
        <w:t xml:space="preserve">hose 25 witnesses </w:t>
      </w:r>
      <w:r>
        <w:t xml:space="preserve">who </w:t>
      </w:r>
      <w:r w:rsidR="00356F39">
        <w:t>did have their</w:t>
      </w:r>
      <w:r>
        <w:t xml:space="preserve"> evidence played at trial</w:t>
      </w:r>
      <w:r w:rsidR="00DC3B17">
        <w:t xml:space="preserve">, </w:t>
      </w:r>
      <w:r>
        <w:t xml:space="preserve"> </w:t>
      </w:r>
      <w:r w:rsidR="00F566F4" w:rsidRPr="00F566F4">
        <w:t>involvement with the c</w:t>
      </w:r>
      <w:r w:rsidR="00E37D91">
        <w:t xml:space="preserve">riminal justice system </w:t>
      </w:r>
      <w:r w:rsidR="00DC3B17">
        <w:t xml:space="preserve">was concluded </w:t>
      </w:r>
      <w:r w:rsidR="000735C1">
        <w:t xml:space="preserve">an average of </w:t>
      </w:r>
      <w:r w:rsidR="00E37D91">
        <w:t>57</w:t>
      </w:r>
      <w:r w:rsidR="00F566F4" w:rsidRPr="00F566F4">
        <w:t xml:space="preserve"> days </w:t>
      </w:r>
      <w:r w:rsidR="00105193">
        <w:t xml:space="preserve">(8 weeks) </w:t>
      </w:r>
      <w:r w:rsidR="00F566F4" w:rsidRPr="00F566F4">
        <w:t xml:space="preserve">earlier than </w:t>
      </w:r>
      <w:r w:rsidR="00424007">
        <w:t xml:space="preserve">would otherwise </w:t>
      </w:r>
      <w:r w:rsidR="00DC3B17">
        <w:t xml:space="preserve">have </w:t>
      </w:r>
      <w:r w:rsidR="00424007">
        <w:t>be</w:t>
      </w:r>
      <w:r w:rsidR="00DC3B17">
        <w:t>en</w:t>
      </w:r>
      <w:r w:rsidR="00424007">
        <w:t xml:space="preserve"> the case.</w:t>
      </w:r>
    </w:p>
    <w:p w:rsidR="005652BA" w:rsidRDefault="005652BA">
      <w:pPr>
        <w:spacing w:after="0" w:line="240" w:lineRule="auto"/>
      </w:pPr>
    </w:p>
    <w:p w:rsidR="005652BA" w:rsidRPr="005652BA" w:rsidRDefault="00993DE4">
      <w:pPr>
        <w:spacing w:after="0" w:line="240" w:lineRule="auto"/>
        <w:rPr>
          <w:u w:val="single"/>
        </w:rPr>
      </w:pPr>
      <w:r>
        <w:rPr>
          <w:u w:val="single"/>
        </w:rPr>
        <w:t>A</w:t>
      </w:r>
      <w:r w:rsidR="005652BA" w:rsidRPr="005652BA">
        <w:rPr>
          <w:u w:val="single"/>
        </w:rPr>
        <w:t xml:space="preserve"> provisional </w:t>
      </w:r>
      <w:r>
        <w:rPr>
          <w:u w:val="single"/>
        </w:rPr>
        <w:t xml:space="preserve">update </w:t>
      </w:r>
      <w:r w:rsidR="005652BA" w:rsidRPr="005652BA">
        <w:rPr>
          <w:u w:val="single"/>
        </w:rPr>
        <w:t>for 2018</w:t>
      </w:r>
    </w:p>
    <w:p w:rsidR="005652BA" w:rsidRDefault="005652BA">
      <w:pPr>
        <w:spacing w:after="0" w:line="240" w:lineRule="auto"/>
      </w:pPr>
    </w:p>
    <w:p w:rsidR="00A34C02" w:rsidRDefault="00EA52B6">
      <w:pPr>
        <w:spacing w:after="0" w:line="240" w:lineRule="auto"/>
      </w:pPr>
      <w:r>
        <w:t>By way of comparison</w:t>
      </w:r>
      <w:r w:rsidR="00993DE4">
        <w:t>,</w:t>
      </w:r>
      <w:r>
        <w:t xml:space="preserve"> a total o</w:t>
      </w:r>
      <w:r w:rsidR="0023209C">
        <w:t xml:space="preserve">f 133 applications have </w:t>
      </w:r>
      <w:r w:rsidR="008114CD">
        <w:t xml:space="preserve">now </w:t>
      </w:r>
      <w:r>
        <w:t xml:space="preserve">been lodged </w:t>
      </w:r>
      <w:r w:rsidR="009F5369">
        <w:t xml:space="preserve">with the High Court </w:t>
      </w:r>
      <w:r>
        <w:t>in the first 10 months of the 2018 calendar year</w:t>
      </w:r>
      <w:r w:rsidR="00993DE4">
        <w:t xml:space="preserve"> and that </w:t>
      </w:r>
      <w:r w:rsidR="0023209C">
        <w:t xml:space="preserve">growth </w:t>
      </w:r>
      <w:r w:rsidR="00993DE4">
        <w:t>will largely be attributable to the impetus gai</w:t>
      </w:r>
      <w:r w:rsidR="004C74C1">
        <w:t xml:space="preserve">ned through </w:t>
      </w:r>
      <w:r w:rsidR="00A47FED">
        <w:t>issuing</w:t>
      </w:r>
      <w:r w:rsidR="004C74C1">
        <w:t xml:space="preserve"> the </w:t>
      </w:r>
      <w:r w:rsidR="00AF45B4">
        <w:t xml:space="preserve">new </w:t>
      </w:r>
      <w:r w:rsidR="004C74C1">
        <w:t>Practice N</w:t>
      </w:r>
      <w:r w:rsidR="00993DE4">
        <w:t>ote.</w:t>
      </w:r>
    </w:p>
    <w:p w:rsidR="00732273" w:rsidRDefault="00732273">
      <w:pPr>
        <w:spacing w:after="0" w:line="240" w:lineRule="auto"/>
      </w:pPr>
    </w:p>
    <w:p w:rsidR="009D1C45" w:rsidRDefault="009D1C45" w:rsidP="009D1C45">
      <w:pPr>
        <w:pStyle w:val="NoSpacing"/>
        <w:pBdr>
          <w:top w:val="single" w:sz="4" w:space="1" w:color="auto"/>
        </w:pBdr>
        <w:rPr>
          <w:b/>
        </w:rPr>
      </w:pPr>
    </w:p>
    <w:p w:rsidR="003E23C3" w:rsidRPr="009C06C2" w:rsidRDefault="008E46B3" w:rsidP="009D1C45">
      <w:pPr>
        <w:pStyle w:val="NoSpacing"/>
        <w:pBdr>
          <w:top w:val="single" w:sz="4" w:space="1" w:color="auto"/>
        </w:pBdr>
        <w:rPr>
          <w:b/>
          <w:color w:val="365F91" w:themeColor="accent1" w:themeShade="BF"/>
        </w:rPr>
      </w:pPr>
      <w:r>
        <w:rPr>
          <w:b/>
          <w:color w:val="365F91" w:themeColor="accent1" w:themeShade="BF"/>
        </w:rPr>
        <w:t xml:space="preserve">PART 1 - </w:t>
      </w:r>
      <w:r w:rsidR="009C06C2">
        <w:rPr>
          <w:b/>
          <w:color w:val="365F91" w:themeColor="accent1" w:themeShade="BF"/>
        </w:rPr>
        <w:t xml:space="preserve">THE </w:t>
      </w:r>
      <w:r w:rsidR="003E23C3" w:rsidRPr="009C06C2">
        <w:rPr>
          <w:b/>
          <w:color w:val="365F91" w:themeColor="accent1" w:themeShade="BF"/>
        </w:rPr>
        <w:t>PROCEDURE</w:t>
      </w:r>
      <w:r w:rsidR="009C06C2">
        <w:rPr>
          <w:b/>
          <w:color w:val="365F91" w:themeColor="accent1" w:themeShade="BF"/>
        </w:rPr>
        <w:t xml:space="preserve"> FOR TAKING EVIDENCE BY COMMISSIONER</w:t>
      </w:r>
    </w:p>
    <w:p w:rsidR="003E23C3" w:rsidRDefault="003E23C3" w:rsidP="009D1C45">
      <w:pPr>
        <w:pStyle w:val="NoSpacing"/>
        <w:pBdr>
          <w:top w:val="single" w:sz="4" w:space="1" w:color="auto"/>
        </w:pBdr>
        <w:rPr>
          <w:b/>
        </w:rPr>
      </w:pPr>
    </w:p>
    <w:p w:rsidR="003E23C3" w:rsidRDefault="003E23C3" w:rsidP="003E23C3">
      <w:pPr>
        <w:pStyle w:val="NoSpacing"/>
      </w:pPr>
      <w:r>
        <w:t>The current procedure for</w:t>
      </w:r>
      <w:r w:rsidR="00424007">
        <w:t xml:space="preserve"> the court</w:t>
      </w:r>
      <w:r>
        <w:t xml:space="preserve"> to take </w:t>
      </w:r>
      <w:r w:rsidRPr="009C06C2">
        <w:rPr>
          <w:i/>
        </w:rPr>
        <w:t>Evidence by Commissioner</w:t>
      </w:r>
      <w:r>
        <w:t xml:space="preserve"> has four key stages</w:t>
      </w:r>
      <w:r w:rsidR="008114CD">
        <w:t xml:space="preserve"> which we are summarising</w:t>
      </w:r>
      <w:r w:rsidR="009F5369">
        <w:t xml:space="preserve"> as follows</w:t>
      </w:r>
      <w:r>
        <w:t>:</w:t>
      </w:r>
    </w:p>
    <w:p w:rsidR="003E23C3" w:rsidRDefault="003E23C3" w:rsidP="003E23C3">
      <w:pPr>
        <w:pStyle w:val="NoSpacing"/>
      </w:pPr>
    </w:p>
    <w:p w:rsidR="00F44EF8" w:rsidRDefault="003E23C3" w:rsidP="003E23C3">
      <w:pPr>
        <w:pStyle w:val="NoSpacing"/>
        <w:numPr>
          <w:ilvl w:val="0"/>
          <w:numId w:val="2"/>
        </w:numPr>
      </w:pPr>
      <w:r>
        <w:t xml:space="preserve">APPLICATION MADE – Where </w:t>
      </w:r>
      <w:r w:rsidR="009F5369">
        <w:t xml:space="preserve">relevant </w:t>
      </w:r>
      <w:r>
        <w:t xml:space="preserve">vulnerabilities have been recognised in a witness </w:t>
      </w:r>
      <w:r w:rsidR="001E17DA">
        <w:t>the</w:t>
      </w:r>
      <w:r>
        <w:t xml:space="preserve"> “party citing the witness”</w:t>
      </w:r>
      <w:r w:rsidR="001E17DA">
        <w:t xml:space="preserve"> will contact the court to make a tentative booking for </w:t>
      </w:r>
      <w:proofErr w:type="gramStart"/>
      <w:r w:rsidR="001E17DA">
        <w:t>a</w:t>
      </w:r>
      <w:r w:rsidR="009F5369">
        <w:t>n</w:t>
      </w:r>
      <w:r w:rsidR="001E17DA">
        <w:t xml:space="preserve"> </w:t>
      </w:r>
      <w:r w:rsidR="009F5369" w:rsidRPr="0023209C">
        <w:rPr>
          <w:i/>
        </w:rPr>
        <w:t>Evidence</w:t>
      </w:r>
      <w:proofErr w:type="gramEnd"/>
      <w:r w:rsidR="009F5369" w:rsidRPr="0023209C">
        <w:rPr>
          <w:i/>
        </w:rPr>
        <w:t xml:space="preserve"> by Commissioner</w:t>
      </w:r>
      <w:r w:rsidR="009F5369">
        <w:t xml:space="preserve"> hearing</w:t>
      </w:r>
      <w:r w:rsidR="001E17DA">
        <w:t xml:space="preserve">.  </w:t>
      </w:r>
      <w:r w:rsidR="000E7A6B">
        <w:t>Once availability has been canvassed a</w:t>
      </w:r>
      <w:r w:rsidR="001E17DA">
        <w:t xml:space="preserve"> formal</w:t>
      </w:r>
      <w:r w:rsidRPr="002C3950">
        <w:t xml:space="preserve"> </w:t>
      </w:r>
      <w:r w:rsidR="001E17DA" w:rsidRPr="00821E01">
        <w:rPr>
          <w:i/>
        </w:rPr>
        <w:t>Application</w:t>
      </w:r>
      <w:r w:rsidR="00A20956">
        <w:rPr>
          <w:rStyle w:val="FootnoteReference"/>
          <w:i/>
        </w:rPr>
        <w:footnoteReference w:id="1"/>
      </w:r>
      <w:r w:rsidR="001E17DA">
        <w:t xml:space="preserve"> will then be prepared </w:t>
      </w:r>
      <w:r>
        <w:t>and</w:t>
      </w:r>
      <w:r w:rsidR="001E17DA">
        <w:t xml:space="preserve"> </w:t>
      </w:r>
      <w:r>
        <w:t>lodged with the court</w:t>
      </w:r>
      <w:r w:rsidR="001E17DA">
        <w:t xml:space="preserve"> who </w:t>
      </w:r>
      <w:r w:rsidR="00F44EF8">
        <w:t>register that</w:t>
      </w:r>
      <w:r>
        <w:t xml:space="preserve"> </w:t>
      </w:r>
      <w:r w:rsidR="001E17DA">
        <w:t xml:space="preserve">formal </w:t>
      </w:r>
      <w:r>
        <w:t xml:space="preserve">application and notify the </w:t>
      </w:r>
      <w:r w:rsidR="004A29C3">
        <w:t>applicant</w:t>
      </w:r>
      <w:r>
        <w:t xml:space="preserve"> of:  </w:t>
      </w:r>
    </w:p>
    <w:p w:rsidR="00F44EF8" w:rsidRDefault="00F44EF8" w:rsidP="00F44EF8">
      <w:pPr>
        <w:pStyle w:val="NoSpacing"/>
        <w:numPr>
          <w:ilvl w:val="1"/>
          <w:numId w:val="2"/>
        </w:numPr>
      </w:pPr>
      <w:r>
        <w:t xml:space="preserve">The </w:t>
      </w:r>
      <w:r w:rsidR="003E23C3">
        <w:t xml:space="preserve">date </w:t>
      </w:r>
      <w:r w:rsidR="001E17DA">
        <w:t xml:space="preserve">for </w:t>
      </w:r>
      <w:r w:rsidR="003E23C3">
        <w:t xml:space="preserve">the application </w:t>
      </w:r>
      <w:r w:rsidR="001E17DA">
        <w:t>to</w:t>
      </w:r>
      <w:r w:rsidR="003E23C3">
        <w:t xml:space="preserve"> call in court </w:t>
      </w:r>
      <w:r w:rsidR="001E17DA">
        <w:t>at</w:t>
      </w:r>
      <w:r w:rsidR="003E23C3">
        <w:t xml:space="preserve"> a </w:t>
      </w:r>
      <w:r w:rsidR="001E17DA">
        <w:t>‘</w:t>
      </w:r>
      <w:r w:rsidR="008C3872">
        <w:t>procedural</w:t>
      </w:r>
      <w:r w:rsidR="003E23C3">
        <w:t xml:space="preserve"> hearing</w:t>
      </w:r>
      <w:r w:rsidR="001E17DA">
        <w:t>’</w:t>
      </w:r>
      <w:r>
        <w:t>; and</w:t>
      </w:r>
    </w:p>
    <w:p w:rsidR="003E23C3" w:rsidRDefault="00F44EF8" w:rsidP="00F44EF8">
      <w:pPr>
        <w:pStyle w:val="NoSpacing"/>
        <w:numPr>
          <w:ilvl w:val="1"/>
          <w:numId w:val="2"/>
        </w:numPr>
      </w:pPr>
      <w:r>
        <w:t>The</w:t>
      </w:r>
      <w:r w:rsidR="001E17DA">
        <w:t xml:space="preserve"> </w:t>
      </w:r>
      <w:r w:rsidR="003E23C3">
        <w:t>date</w:t>
      </w:r>
      <w:r>
        <w:t>,</w:t>
      </w:r>
      <w:r w:rsidR="003E23C3">
        <w:t xml:space="preserve"> </w:t>
      </w:r>
      <w:r w:rsidR="00936DA8">
        <w:t xml:space="preserve">time and venue </w:t>
      </w:r>
      <w:r w:rsidR="003E23C3">
        <w:t xml:space="preserve">for </w:t>
      </w:r>
      <w:r w:rsidR="004A29C3">
        <w:t>the</w:t>
      </w:r>
      <w:r w:rsidR="003E23C3">
        <w:t xml:space="preserve"> </w:t>
      </w:r>
      <w:r>
        <w:t xml:space="preserve">witness to attend a </w:t>
      </w:r>
      <w:r w:rsidR="001E17DA">
        <w:t>‘</w:t>
      </w:r>
      <w:r w:rsidR="003E23C3">
        <w:t>commission hearing</w:t>
      </w:r>
      <w:r w:rsidR="001E17DA">
        <w:t>’</w:t>
      </w:r>
      <w:r w:rsidR="003E23C3">
        <w:t>.</w:t>
      </w:r>
    </w:p>
    <w:p w:rsidR="003E23C3" w:rsidRDefault="003E23C3" w:rsidP="003E23C3">
      <w:pPr>
        <w:pStyle w:val="NoSpacing"/>
        <w:ind w:left="720"/>
      </w:pPr>
    </w:p>
    <w:p w:rsidR="003E23C3" w:rsidRDefault="00095F05" w:rsidP="003E23C3">
      <w:pPr>
        <w:pStyle w:val="NoSpacing"/>
        <w:numPr>
          <w:ilvl w:val="0"/>
          <w:numId w:val="2"/>
        </w:numPr>
      </w:pPr>
      <w:r>
        <w:t>APPROACH</w:t>
      </w:r>
      <w:r w:rsidR="003E23C3">
        <w:t xml:space="preserve"> AGREED – At the </w:t>
      </w:r>
      <w:r w:rsidR="008C3872">
        <w:t>‘procedural</w:t>
      </w:r>
      <w:r w:rsidR="003E23C3">
        <w:t xml:space="preserve"> hearing</w:t>
      </w:r>
      <w:r w:rsidR="007F61E0">
        <w:t>’</w:t>
      </w:r>
      <w:r w:rsidR="003E23C3">
        <w:t xml:space="preserve"> the </w:t>
      </w:r>
      <w:r w:rsidR="00732273">
        <w:t xml:space="preserve">prosecution and </w:t>
      </w:r>
      <w:r w:rsidR="00AF45B4">
        <w:t>defence</w:t>
      </w:r>
      <w:r w:rsidR="003E23C3">
        <w:t xml:space="preserve"> are expected to have prepared </w:t>
      </w:r>
      <w:r w:rsidR="007F61E0">
        <w:t xml:space="preserve">themselves </w:t>
      </w:r>
      <w:r w:rsidR="003E23C3">
        <w:t xml:space="preserve">in line with </w:t>
      </w:r>
      <w:hyperlink r:id="rId10" w:history="1">
        <w:r w:rsidR="003E23C3" w:rsidRPr="00D654AE">
          <w:rPr>
            <w:rStyle w:val="Hyperlink"/>
          </w:rPr>
          <w:t>Practice Note 1 of 2017</w:t>
        </w:r>
      </w:hyperlink>
      <w:r w:rsidR="003E23C3">
        <w:t xml:space="preserve"> </w:t>
      </w:r>
      <w:r w:rsidR="000D2925">
        <w:t xml:space="preserve">(refer appendix 1) </w:t>
      </w:r>
      <w:r w:rsidR="003E23C3">
        <w:t xml:space="preserve">and should be able to </w:t>
      </w:r>
      <w:r w:rsidR="008C3872">
        <w:t>advise the court</w:t>
      </w:r>
      <w:r w:rsidR="003E23C3">
        <w:t xml:space="preserve"> as to how to </w:t>
      </w:r>
      <w:r w:rsidR="00BF203B">
        <w:t>facilitate</w:t>
      </w:r>
      <w:r w:rsidR="003E23C3">
        <w:t xml:space="preserve"> that witness</w:t>
      </w:r>
      <w:r w:rsidR="00BF203B">
        <w:t xml:space="preserve"> providing their best evidence</w:t>
      </w:r>
      <w:r w:rsidR="003E23C3">
        <w:t xml:space="preserve">. The nature of the questions to be asked and the manner in which they should be asked </w:t>
      </w:r>
      <w:r w:rsidR="00F44EF8" w:rsidRPr="00F44EF8">
        <w:t>are</w:t>
      </w:r>
      <w:r w:rsidR="003E23C3">
        <w:t xml:space="preserve"> then agreed by the </w:t>
      </w:r>
      <w:r w:rsidR="008C3872">
        <w:t>court</w:t>
      </w:r>
      <w:r w:rsidR="00342399">
        <w:t>.</w:t>
      </w:r>
    </w:p>
    <w:p w:rsidR="00342399" w:rsidRDefault="00342399" w:rsidP="00342399">
      <w:pPr>
        <w:pStyle w:val="NoSpacing"/>
        <w:ind w:left="720"/>
      </w:pPr>
    </w:p>
    <w:p w:rsidR="003E23C3" w:rsidRDefault="003E23C3" w:rsidP="003E23C3">
      <w:pPr>
        <w:pStyle w:val="NoSpacing"/>
        <w:numPr>
          <w:ilvl w:val="0"/>
          <w:numId w:val="2"/>
        </w:numPr>
      </w:pPr>
      <w:r>
        <w:t xml:space="preserve">EVIDENCE TAKEN – At the scheduled </w:t>
      </w:r>
      <w:r w:rsidR="007F61E0">
        <w:t>‘</w:t>
      </w:r>
      <w:r>
        <w:t>commission hearing</w:t>
      </w:r>
      <w:r w:rsidR="007F61E0">
        <w:t>’</w:t>
      </w:r>
      <w:r w:rsidR="004A29C3">
        <w:t xml:space="preserve"> the witness </w:t>
      </w:r>
      <w:r w:rsidR="002353FD">
        <w:t xml:space="preserve">will </w:t>
      </w:r>
      <w:r>
        <w:t>usually appear in person, or occas</w:t>
      </w:r>
      <w:r w:rsidR="00BF203B">
        <w:t>ionally by live TV link</w:t>
      </w:r>
      <w:r w:rsidR="001C188E">
        <w:t>, and will have been offered a familiarisation visit in advance of their appearance</w:t>
      </w:r>
      <w:r w:rsidR="00BF203B">
        <w:t>.  In line with the gro</w:t>
      </w:r>
      <w:r w:rsidR="00D25CCF">
        <w:t xml:space="preserve">und rules set by the court </w:t>
      </w:r>
      <w:r w:rsidR="008C3872">
        <w:t>at the ‘procedural</w:t>
      </w:r>
      <w:r w:rsidR="007F61E0">
        <w:t xml:space="preserve"> hearing’ </w:t>
      </w:r>
      <w:r w:rsidR="00BF203B">
        <w:t>t</w:t>
      </w:r>
      <w:r w:rsidR="00342399">
        <w:t xml:space="preserve">he commissioner </w:t>
      </w:r>
      <w:r w:rsidR="001C188E">
        <w:t xml:space="preserve">then </w:t>
      </w:r>
      <w:r w:rsidR="00342399">
        <w:t xml:space="preserve">facilitates the witness </w:t>
      </w:r>
      <w:r w:rsidR="001C188E">
        <w:t>be</w:t>
      </w:r>
      <w:r w:rsidR="00342399">
        <w:t>ing</w:t>
      </w:r>
      <w:r>
        <w:t xml:space="preserve"> questioned </w:t>
      </w:r>
      <w:r w:rsidR="002353FD">
        <w:t>by the prosecution and the defence</w:t>
      </w:r>
      <w:r>
        <w:t xml:space="preserve">. The video recording of that witness’s evidence </w:t>
      </w:r>
      <w:r w:rsidR="000735C1">
        <w:t xml:space="preserve">and cross examination </w:t>
      </w:r>
      <w:r w:rsidR="008C3872">
        <w:t>is supplied to the SCTS</w:t>
      </w:r>
      <w:r w:rsidR="009B502E">
        <w:t>, along with</w:t>
      </w:r>
      <w:r>
        <w:t xml:space="preserve"> </w:t>
      </w:r>
      <w:r w:rsidR="000D2925">
        <w:t xml:space="preserve">copies </w:t>
      </w:r>
      <w:r w:rsidR="009B502E">
        <w:t xml:space="preserve">which </w:t>
      </w:r>
      <w:r w:rsidR="000D2925">
        <w:t>may</w:t>
      </w:r>
      <w:r w:rsidR="001C188E">
        <w:t xml:space="preserve"> be </w:t>
      </w:r>
      <w:r>
        <w:t xml:space="preserve">made available to </w:t>
      </w:r>
      <w:r w:rsidR="002353FD">
        <w:t>the prosecution and the defence</w:t>
      </w:r>
      <w:r w:rsidR="000E7A6B">
        <w:t xml:space="preserve"> if required</w:t>
      </w:r>
      <w:r>
        <w:t>.</w:t>
      </w:r>
    </w:p>
    <w:p w:rsidR="003E23C3" w:rsidRDefault="003E23C3" w:rsidP="003E23C3">
      <w:pPr>
        <w:pStyle w:val="NoSpacing"/>
        <w:ind w:left="720"/>
      </w:pPr>
    </w:p>
    <w:p w:rsidR="003E23C3" w:rsidRDefault="003E23C3" w:rsidP="003E23C3">
      <w:pPr>
        <w:pStyle w:val="NoSpacing"/>
        <w:numPr>
          <w:ilvl w:val="0"/>
          <w:numId w:val="2"/>
        </w:numPr>
      </w:pPr>
      <w:r>
        <w:t xml:space="preserve">RECORDING PLAYED – At the trial diet the pre-recorded evidence from the commission hearing </w:t>
      </w:r>
      <w:r w:rsidR="009B502E">
        <w:t>may, at the discretion of the parties,</w:t>
      </w:r>
      <w:r>
        <w:t xml:space="preserve"> be played to the </w:t>
      </w:r>
      <w:r w:rsidR="00FD0FD6">
        <w:t xml:space="preserve">presiding </w:t>
      </w:r>
      <w:r>
        <w:t>judge</w:t>
      </w:r>
      <w:r w:rsidR="007F61E0">
        <w:t xml:space="preserve"> </w:t>
      </w:r>
      <w:r>
        <w:t xml:space="preserve">and </w:t>
      </w:r>
      <w:r w:rsidR="007F61E0">
        <w:t xml:space="preserve">the </w:t>
      </w:r>
      <w:r>
        <w:t xml:space="preserve">jurors </w:t>
      </w:r>
      <w:r w:rsidRPr="0005664B">
        <w:rPr>
          <w:i/>
        </w:rPr>
        <w:t>(in lieu of having that vulnerable witness appear in person)</w:t>
      </w:r>
      <w:r>
        <w:t>.</w:t>
      </w:r>
      <w:r w:rsidR="002A4A53">
        <w:t xml:space="preserve">  The </w:t>
      </w:r>
      <w:r w:rsidR="002353FD">
        <w:t xml:space="preserve">master copy of the </w:t>
      </w:r>
      <w:r w:rsidR="002A4A53">
        <w:t>pre-recorded</w:t>
      </w:r>
      <w:r w:rsidR="002353FD">
        <w:t xml:space="preserve"> evidence will then be retained</w:t>
      </w:r>
      <w:r w:rsidR="008C3872">
        <w:t xml:space="preserve"> by the SCTS</w:t>
      </w:r>
      <w:r w:rsidR="002353FD">
        <w:t xml:space="preserve">, whilst any other copies </w:t>
      </w:r>
      <w:r w:rsidR="009F5369">
        <w:t xml:space="preserve">made </w:t>
      </w:r>
      <w:r w:rsidR="002353FD">
        <w:t xml:space="preserve">are returned </w:t>
      </w:r>
      <w:r w:rsidR="009B502E">
        <w:t xml:space="preserve">to the SCTS </w:t>
      </w:r>
      <w:r w:rsidR="002353FD">
        <w:t>for destruction</w:t>
      </w:r>
      <w:r w:rsidR="002A4A53">
        <w:t>.</w:t>
      </w:r>
      <w:r w:rsidR="00AC6678">
        <w:t xml:space="preserve"> In due cour</w:t>
      </w:r>
      <w:r w:rsidR="006449BC">
        <w:t>se th</w:t>
      </w:r>
      <w:r w:rsidR="008C3872">
        <w:t xml:space="preserve">e </w:t>
      </w:r>
      <w:r w:rsidR="002353FD">
        <w:t>master copy</w:t>
      </w:r>
      <w:r w:rsidR="00AC6678">
        <w:t xml:space="preserve"> will </w:t>
      </w:r>
      <w:r w:rsidR="002353FD">
        <w:t xml:space="preserve">also </w:t>
      </w:r>
      <w:r w:rsidR="00AC6678">
        <w:t>be destroyed in line with the principles set out in the SCTS Records Management Plan.</w:t>
      </w:r>
    </w:p>
    <w:p w:rsidR="003E23C3" w:rsidRDefault="003E23C3" w:rsidP="003E23C3">
      <w:pPr>
        <w:pStyle w:val="NoSpacing"/>
      </w:pPr>
    </w:p>
    <w:p w:rsidR="00921E22" w:rsidRDefault="00921E22" w:rsidP="003E23C3">
      <w:pPr>
        <w:pStyle w:val="NoSpacing"/>
        <w:rPr>
          <w:u w:val="single"/>
        </w:rPr>
      </w:pPr>
    </w:p>
    <w:p w:rsidR="003E23C3" w:rsidRPr="003E23C3" w:rsidRDefault="003E23C3" w:rsidP="003E23C3">
      <w:pPr>
        <w:pStyle w:val="NoSpacing"/>
        <w:rPr>
          <w:u w:val="single"/>
        </w:rPr>
      </w:pPr>
      <w:r w:rsidRPr="003E23C3">
        <w:rPr>
          <w:u w:val="single"/>
        </w:rPr>
        <w:t>Case Progression</w:t>
      </w:r>
    </w:p>
    <w:p w:rsidR="003E23C3" w:rsidRDefault="003E23C3" w:rsidP="003E23C3">
      <w:pPr>
        <w:pStyle w:val="NoSpacing"/>
      </w:pPr>
      <w:r>
        <w:t>The evidence of a</w:t>
      </w:r>
      <w:r w:rsidR="003E73AC">
        <w:t>ny</w:t>
      </w:r>
      <w:r>
        <w:t xml:space="preserve"> given witness may be sought relative to one charge only, or </w:t>
      </w:r>
      <w:r w:rsidR="003E73AC">
        <w:t xml:space="preserve">relative </w:t>
      </w:r>
      <w:r>
        <w:t xml:space="preserve">to the </w:t>
      </w:r>
      <w:r w:rsidR="003E73AC">
        <w:t>entire case</w:t>
      </w:r>
      <w:r w:rsidR="00FD0FD6">
        <w:t xml:space="preserve"> against the accused</w:t>
      </w:r>
      <w:r w:rsidR="006449BC">
        <w:t>. Along with t</w:t>
      </w:r>
      <w:r>
        <w:t>he routine case progression decisions that need to be made by prosecutors and defence agents</w:t>
      </w:r>
      <w:r w:rsidR="004A29C3">
        <w:t xml:space="preserve"> </w:t>
      </w:r>
      <w:r w:rsidR="006449BC">
        <w:t>that</w:t>
      </w:r>
      <w:r>
        <w:t xml:space="preserve"> mean</w:t>
      </w:r>
      <w:r w:rsidR="00FD0FD6">
        <w:t>s</w:t>
      </w:r>
      <w:r>
        <w:t xml:space="preserve"> that </w:t>
      </w:r>
      <w:r w:rsidR="00947565">
        <w:t xml:space="preserve">over time </w:t>
      </w:r>
      <w:r>
        <w:t xml:space="preserve">a subset of witnesses </w:t>
      </w:r>
      <w:r w:rsidR="004A29C3">
        <w:t>will</w:t>
      </w:r>
      <w:r>
        <w:t xml:space="preserve"> drop out as cases </w:t>
      </w:r>
      <w:r w:rsidR="009F5369">
        <w:t>step</w:t>
      </w:r>
      <w:r>
        <w:t xml:space="preserve"> throug</w:t>
      </w:r>
      <w:r w:rsidR="003E73AC">
        <w:t xml:space="preserve">h </w:t>
      </w:r>
      <w:r w:rsidR="006449BC">
        <w:t xml:space="preserve">each of </w:t>
      </w:r>
      <w:r w:rsidR="004A29C3">
        <w:t xml:space="preserve">the </w:t>
      </w:r>
      <w:r w:rsidR="003E73AC">
        <w:t>key stages within this procedure:</w:t>
      </w:r>
      <w:r>
        <w:t xml:space="preserve"> </w:t>
      </w:r>
    </w:p>
    <w:p w:rsidR="00424007" w:rsidRDefault="008C3872" w:rsidP="003E23C3">
      <w:pPr>
        <w:pStyle w:val="NoSpacing"/>
      </w:pPr>
      <w:r w:rsidRPr="008C3872">
        <w:rPr>
          <w:noProof/>
          <w:lang w:eastAsia="en-GB"/>
        </w:rPr>
        <w:drawing>
          <wp:inline distT="0" distB="0" distL="0" distR="0" wp14:anchorId="56DA8818" wp14:editId="18A3E6A0">
            <wp:extent cx="6463281"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6825" cy="1395716"/>
                    </a:xfrm>
                    <a:prstGeom prst="rect">
                      <a:avLst/>
                    </a:prstGeom>
                    <a:noFill/>
                    <a:ln>
                      <a:noFill/>
                    </a:ln>
                  </pic:spPr>
                </pic:pic>
              </a:graphicData>
            </a:graphic>
          </wp:inline>
        </w:drawing>
      </w:r>
    </w:p>
    <w:p w:rsidR="00424007" w:rsidRDefault="00424007" w:rsidP="003E23C3">
      <w:pPr>
        <w:pStyle w:val="NoSpacing"/>
      </w:pPr>
    </w:p>
    <w:p w:rsidR="008C3872" w:rsidRDefault="008C3872">
      <w:pPr>
        <w:spacing w:after="0" w:line="240" w:lineRule="auto"/>
        <w:rPr>
          <w:b/>
          <w:color w:val="365F91" w:themeColor="accent1" w:themeShade="BF"/>
          <w:lang w:eastAsia="en-US"/>
        </w:rPr>
      </w:pPr>
      <w:r>
        <w:rPr>
          <w:b/>
          <w:color w:val="365F91" w:themeColor="accent1" w:themeShade="BF"/>
        </w:rPr>
        <w:br w:type="page"/>
      </w:r>
    </w:p>
    <w:p w:rsidR="00921E22" w:rsidRDefault="00921E22" w:rsidP="003E23C3">
      <w:pPr>
        <w:pStyle w:val="NoSpacing"/>
        <w:rPr>
          <w:b/>
          <w:color w:val="365F91" w:themeColor="accent1" w:themeShade="BF"/>
        </w:rPr>
      </w:pPr>
    </w:p>
    <w:p w:rsidR="00424007" w:rsidRPr="009C06C2" w:rsidRDefault="008E46B3" w:rsidP="003E23C3">
      <w:pPr>
        <w:pStyle w:val="NoSpacing"/>
        <w:rPr>
          <w:b/>
          <w:color w:val="365F91" w:themeColor="accent1" w:themeShade="BF"/>
        </w:rPr>
      </w:pPr>
      <w:r>
        <w:rPr>
          <w:b/>
          <w:color w:val="365F91" w:themeColor="accent1" w:themeShade="BF"/>
        </w:rPr>
        <w:t xml:space="preserve">PART 2 - </w:t>
      </w:r>
      <w:r w:rsidR="0023209C">
        <w:rPr>
          <w:b/>
          <w:color w:val="365F91" w:themeColor="accent1" w:themeShade="BF"/>
        </w:rPr>
        <w:t>THE OUTCOMES</w:t>
      </w:r>
      <w:r w:rsidR="008114CD">
        <w:rPr>
          <w:b/>
          <w:color w:val="365F91" w:themeColor="accent1" w:themeShade="BF"/>
        </w:rPr>
        <w:t xml:space="preserve"> (AT EACH</w:t>
      </w:r>
      <w:r w:rsidR="00306F4A">
        <w:rPr>
          <w:b/>
          <w:color w:val="365F91" w:themeColor="accent1" w:themeShade="BF"/>
        </w:rPr>
        <w:t xml:space="preserve"> STAGE</w:t>
      </w:r>
      <w:r w:rsidR="0023209C">
        <w:rPr>
          <w:b/>
          <w:color w:val="365F91" w:themeColor="accent1" w:themeShade="BF"/>
        </w:rPr>
        <w:t xml:space="preserve"> IN </w:t>
      </w:r>
      <w:r w:rsidR="008114CD">
        <w:rPr>
          <w:b/>
          <w:color w:val="365F91" w:themeColor="accent1" w:themeShade="BF"/>
        </w:rPr>
        <w:t xml:space="preserve">THE </w:t>
      </w:r>
      <w:r w:rsidR="0023209C">
        <w:rPr>
          <w:b/>
          <w:color w:val="365F91" w:themeColor="accent1" w:themeShade="BF"/>
        </w:rPr>
        <w:t>PROCEDURE</w:t>
      </w:r>
      <w:r w:rsidR="008114CD">
        <w:rPr>
          <w:b/>
          <w:color w:val="365F91" w:themeColor="accent1" w:themeShade="BF"/>
        </w:rPr>
        <w:t>)</w:t>
      </w:r>
    </w:p>
    <w:p w:rsidR="00424007" w:rsidRDefault="00424007" w:rsidP="003E23C3">
      <w:pPr>
        <w:pStyle w:val="NoSpacing"/>
      </w:pPr>
    </w:p>
    <w:p w:rsidR="00424007" w:rsidRDefault="00424007" w:rsidP="003E23C3">
      <w:pPr>
        <w:pStyle w:val="NoSpacing"/>
      </w:pPr>
    </w:p>
    <w:p w:rsidR="003E23C3" w:rsidRDefault="003E23C3" w:rsidP="009D1C45">
      <w:pPr>
        <w:pStyle w:val="NoSpacing"/>
        <w:pBdr>
          <w:top w:val="single" w:sz="4" w:space="1" w:color="auto"/>
        </w:pBdr>
        <w:rPr>
          <w:b/>
        </w:rPr>
      </w:pPr>
    </w:p>
    <w:p w:rsidR="00D7229A" w:rsidRPr="009C06C2" w:rsidRDefault="009C06C2" w:rsidP="009D1C45">
      <w:pPr>
        <w:pStyle w:val="NoSpacing"/>
        <w:pBdr>
          <w:top w:val="single" w:sz="4" w:space="1" w:color="auto"/>
        </w:pBdr>
        <w:rPr>
          <w:i/>
          <w:color w:val="365F91" w:themeColor="accent1" w:themeShade="BF"/>
        </w:rPr>
      </w:pPr>
      <w:r w:rsidRPr="009C06C2">
        <w:rPr>
          <w:i/>
          <w:color w:val="365F91" w:themeColor="accent1" w:themeShade="BF"/>
        </w:rPr>
        <w:t xml:space="preserve">STAGE 1 - </w:t>
      </w:r>
      <w:r w:rsidR="00D7229A" w:rsidRPr="009C06C2">
        <w:rPr>
          <w:i/>
          <w:color w:val="365F91" w:themeColor="accent1" w:themeShade="BF"/>
        </w:rPr>
        <w:t>APPLICATION</w:t>
      </w:r>
      <w:r w:rsidR="00B71018" w:rsidRPr="009C06C2">
        <w:rPr>
          <w:i/>
          <w:color w:val="365F91" w:themeColor="accent1" w:themeShade="BF"/>
        </w:rPr>
        <w:t>S</w:t>
      </w:r>
      <w:r w:rsidR="00D7229A" w:rsidRPr="009C06C2">
        <w:rPr>
          <w:i/>
          <w:color w:val="365F91" w:themeColor="accent1" w:themeShade="BF"/>
        </w:rPr>
        <w:t xml:space="preserve"> MADE</w:t>
      </w:r>
    </w:p>
    <w:p w:rsidR="00D7229A" w:rsidRDefault="00D7229A" w:rsidP="00D7229A">
      <w:pPr>
        <w:pStyle w:val="NoSpacing"/>
      </w:pPr>
    </w:p>
    <w:p w:rsidR="004B1964" w:rsidRPr="000832E8" w:rsidRDefault="000832E8" w:rsidP="004B1964">
      <w:pPr>
        <w:pStyle w:val="NoSpacing"/>
        <w:rPr>
          <w:u w:val="single"/>
        </w:rPr>
      </w:pPr>
      <w:r w:rsidRPr="000832E8">
        <w:rPr>
          <w:u w:val="single"/>
        </w:rPr>
        <w:t>Applications</w:t>
      </w:r>
      <w:r>
        <w:rPr>
          <w:u w:val="single"/>
        </w:rPr>
        <w:t xml:space="preserve"> Registered by the High Court</w:t>
      </w:r>
    </w:p>
    <w:p w:rsidR="0083782B" w:rsidRDefault="0083782B" w:rsidP="004B1964">
      <w:pPr>
        <w:pStyle w:val="NoSpacing"/>
      </w:pPr>
    </w:p>
    <w:p w:rsidR="00D7229A" w:rsidRDefault="00D7229A" w:rsidP="004B1964">
      <w:pPr>
        <w:pStyle w:val="NoSpacing"/>
      </w:pPr>
      <w:r>
        <w:t>During the 2017 calendar year a total of 50 applications we</w:t>
      </w:r>
      <w:r w:rsidR="001B7FB5">
        <w:t>re made to the High Court. The average applications made per</w:t>
      </w:r>
      <w:r>
        <w:t xml:space="preserve"> month</w:t>
      </w:r>
      <w:r w:rsidR="00921C01">
        <w:t xml:space="preserve"> was 4 and:</w:t>
      </w:r>
    </w:p>
    <w:p w:rsidR="001B7FB5" w:rsidRDefault="001B7FB5" w:rsidP="001B7FB5">
      <w:pPr>
        <w:pStyle w:val="NoSpacing"/>
        <w:numPr>
          <w:ilvl w:val="0"/>
          <w:numId w:val="4"/>
        </w:numPr>
      </w:pPr>
      <w:r>
        <w:t xml:space="preserve">The range </w:t>
      </w:r>
      <w:r w:rsidR="0083782B">
        <w:t>of applications made varied</w:t>
      </w:r>
      <w:r>
        <w:t>:</w:t>
      </w:r>
    </w:p>
    <w:p w:rsidR="001B7FB5" w:rsidRPr="001B7FB5" w:rsidRDefault="0083782B" w:rsidP="001B7FB5">
      <w:pPr>
        <w:pStyle w:val="NoSpacing"/>
        <w:numPr>
          <w:ilvl w:val="1"/>
          <w:numId w:val="4"/>
        </w:numPr>
        <w:rPr>
          <w:i/>
        </w:rPr>
      </w:pPr>
      <w:r>
        <w:t>From a</w:t>
      </w:r>
      <w:r w:rsidR="001B7FB5">
        <w:t xml:space="preserve"> minimum of 1 application </w:t>
      </w:r>
      <w:r w:rsidR="001B7FB5" w:rsidRPr="001B7FB5">
        <w:rPr>
          <w:i/>
        </w:rPr>
        <w:t>(on 5 occasions)</w:t>
      </w:r>
      <w:r>
        <w:t xml:space="preserve">; </w:t>
      </w:r>
    </w:p>
    <w:p w:rsidR="001B7FB5" w:rsidRDefault="0083782B" w:rsidP="001B7FB5">
      <w:pPr>
        <w:pStyle w:val="NoSpacing"/>
        <w:numPr>
          <w:ilvl w:val="1"/>
          <w:numId w:val="4"/>
        </w:numPr>
      </w:pPr>
      <w:r>
        <w:t>To a</w:t>
      </w:r>
      <w:r w:rsidR="001B7FB5">
        <w:t xml:space="preserve"> maximum of 13 applications </w:t>
      </w:r>
      <w:r w:rsidR="001B7FB5" w:rsidRPr="001B7FB5">
        <w:rPr>
          <w:i/>
        </w:rPr>
        <w:t>(on 1 occasion)</w:t>
      </w:r>
      <w:r w:rsidR="00663675">
        <w:rPr>
          <w:i/>
        </w:rPr>
        <w:t>.</w:t>
      </w:r>
    </w:p>
    <w:p w:rsidR="004B1964" w:rsidRDefault="004B1964" w:rsidP="00D7229A">
      <w:pPr>
        <w:pStyle w:val="NoSpacing"/>
      </w:pPr>
    </w:p>
    <w:p w:rsidR="00D7229A" w:rsidRDefault="00EA52B6" w:rsidP="00D7229A">
      <w:pPr>
        <w:pStyle w:val="NoSpacing"/>
      </w:pPr>
      <w:r w:rsidRPr="00EA52B6">
        <w:rPr>
          <w:noProof/>
          <w:lang w:eastAsia="en-GB"/>
        </w:rPr>
        <w:drawing>
          <wp:inline distT="0" distB="0" distL="0" distR="0" wp14:anchorId="4FA91D98" wp14:editId="25E12CE8">
            <wp:extent cx="6581045" cy="442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0622" cy="4428840"/>
                    </a:xfrm>
                    <a:prstGeom prst="rect">
                      <a:avLst/>
                    </a:prstGeom>
                    <a:noFill/>
                    <a:ln>
                      <a:noFill/>
                    </a:ln>
                  </pic:spPr>
                </pic:pic>
              </a:graphicData>
            </a:graphic>
          </wp:inline>
        </w:drawing>
      </w:r>
    </w:p>
    <w:p w:rsidR="000E258D" w:rsidRDefault="000E258D" w:rsidP="00D7229A">
      <w:pPr>
        <w:pStyle w:val="NoSpacing"/>
      </w:pPr>
    </w:p>
    <w:p w:rsidR="0083782B" w:rsidRPr="0083782B" w:rsidRDefault="0083782B" w:rsidP="0083782B">
      <w:pPr>
        <w:pStyle w:val="NoSpacing"/>
      </w:pPr>
      <w:r>
        <w:t>The com</w:t>
      </w:r>
      <w:r w:rsidR="00EA52B6">
        <w:t xml:space="preserve">parable figures </w:t>
      </w:r>
      <w:r w:rsidR="001C188E">
        <w:t xml:space="preserve">for applications lodged </w:t>
      </w:r>
      <w:r w:rsidR="00EA52B6">
        <w:t>over the first 10</w:t>
      </w:r>
      <w:r>
        <w:t xml:space="preserve"> months of 2018</w:t>
      </w:r>
      <w:r w:rsidR="00B71018">
        <w:t xml:space="preserve"> are </w:t>
      </w:r>
      <w:r w:rsidR="00FD0FD6">
        <w:t>materially higher. There were</w:t>
      </w:r>
      <w:r w:rsidR="00EA52B6">
        <w:t>133</w:t>
      </w:r>
      <w:r>
        <w:t xml:space="preserve"> applications made </w:t>
      </w:r>
      <w:r w:rsidR="009F5369">
        <w:t xml:space="preserve">to the High Court </w:t>
      </w:r>
      <w:r w:rsidR="001163DB">
        <w:t>over</w:t>
      </w:r>
      <w:r w:rsidR="00FD0FD6">
        <w:t xml:space="preserve"> the year to date with </w:t>
      </w:r>
      <w:r w:rsidR="001163DB">
        <w:t>the</w:t>
      </w:r>
      <w:r w:rsidRPr="0083782B">
        <w:t xml:space="preserve"> average per month </w:t>
      </w:r>
      <w:r w:rsidR="00FD0FD6">
        <w:t>increasing to</w:t>
      </w:r>
      <w:r w:rsidRPr="0083782B">
        <w:t xml:space="preserve"> </w:t>
      </w:r>
      <w:r>
        <w:t>1</w:t>
      </w:r>
      <w:r w:rsidR="001163DB">
        <w:t>3</w:t>
      </w:r>
      <w:r w:rsidRPr="0083782B">
        <w:t xml:space="preserve"> and:</w:t>
      </w:r>
    </w:p>
    <w:p w:rsidR="0083782B" w:rsidRPr="0083782B" w:rsidRDefault="0083782B" w:rsidP="0083782B">
      <w:pPr>
        <w:pStyle w:val="NoSpacing"/>
        <w:numPr>
          <w:ilvl w:val="0"/>
          <w:numId w:val="4"/>
        </w:numPr>
      </w:pPr>
      <w:r w:rsidRPr="0083782B">
        <w:t xml:space="preserve">The range </w:t>
      </w:r>
      <w:r w:rsidR="00F23E01">
        <w:t xml:space="preserve">of applications </w:t>
      </w:r>
      <w:r>
        <w:t>varied</w:t>
      </w:r>
      <w:r w:rsidRPr="0083782B">
        <w:t>:</w:t>
      </w:r>
    </w:p>
    <w:p w:rsidR="0083782B" w:rsidRPr="0083782B" w:rsidRDefault="0083782B" w:rsidP="0083782B">
      <w:pPr>
        <w:pStyle w:val="NoSpacing"/>
        <w:numPr>
          <w:ilvl w:val="1"/>
          <w:numId w:val="4"/>
        </w:numPr>
        <w:rPr>
          <w:i/>
        </w:rPr>
      </w:pPr>
      <w:r>
        <w:t>From a</w:t>
      </w:r>
      <w:r w:rsidRPr="0083782B">
        <w:t xml:space="preserve"> min</w:t>
      </w:r>
      <w:r>
        <w:t>imum of 5</w:t>
      </w:r>
      <w:r w:rsidRPr="0083782B">
        <w:t xml:space="preserve"> application</w:t>
      </w:r>
      <w:r>
        <w:t>s</w:t>
      </w:r>
      <w:r w:rsidRPr="0083782B">
        <w:t xml:space="preserve"> </w:t>
      </w:r>
      <w:r>
        <w:rPr>
          <w:i/>
        </w:rPr>
        <w:t>(on 1</w:t>
      </w:r>
      <w:r w:rsidRPr="0083782B">
        <w:rPr>
          <w:i/>
        </w:rPr>
        <w:t xml:space="preserve"> </w:t>
      </w:r>
      <w:r>
        <w:rPr>
          <w:i/>
        </w:rPr>
        <w:t>occasion</w:t>
      </w:r>
      <w:r w:rsidRPr="0083782B">
        <w:rPr>
          <w:i/>
        </w:rPr>
        <w:t>)</w:t>
      </w:r>
      <w:r>
        <w:t xml:space="preserve">; </w:t>
      </w:r>
    </w:p>
    <w:p w:rsidR="0083782B" w:rsidRPr="0083782B" w:rsidRDefault="0083782B" w:rsidP="0083782B">
      <w:pPr>
        <w:pStyle w:val="NoSpacing"/>
        <w:numPr>
          <w:ilvl w:val="1"/>
          <w:numId w:val="4"/>
        </w:numPr>
      </w:pPr>
      <w:r>
        <w:t>To a maximum of 18</w:t>
      </w:r>
      <w:r w:rsidRPr="0083782B">
        <w:t xml:space="preserve"> applications </w:t>
      </w:r>
      <w:r w:rsidRPr="0083782B">
        <w:rPr>
          <w:i/>
        </w:rPr>
        <w:t xml:space="preserve">(on </w:t>
      </w:r>
      <w:r>
        <w:rPr>
          <w:i/>
        </w:rPr>
        <w:t>2</w:t>
      </w:r>
      <w:r w:rsidRPr="0083782B">
        <w:rPr>
          <w:i/>
        </w:rPr>
        <w:t xml:space="preserve"> occasion</w:t>
      </w:r>
      <w:r>
        <w:rPr>
          <w:i/>
        </w:rPr>
        <w:t>s</w:t>
      </w:r>
      <w:r w:rsidRPr="0083782B">
        <w:rPr>
          <w:i/>
        </w:rPr>
        <w:t>)</w:t>
      </w:r>
      <w:r>
        <w:rPr>
          <w:i/>
        </w:rPr>
        <w:t>.</w:t>
      </w:r>
    </w:p>
    <w:p w:rsidR="0083782B" w:rsidRDefault="0083782B" w:rsidP="0083782B">
      <w:pPr>
        <w:pStyle w:val="NoSpacing"/>
      </w:pPr>
    </w:p>
    <w:p w:rsidR="008415A4" w:rsidRDefault="008415A4" w:rsidP="00D7229A">
      <w:pPr>
        <w:pStyle w:val="NoSpacing"/>
      </w:pPr>
    </w:p>
    <w:p w:rsidR="008415A4" w:rsidRDefault="008415A4" w:rsidP="00D7229A">
      <w:pPr>
        <w:pStyle w:val="NoSpacing"/>
      </w:pPr>
    </w:p>
    <w:p w:rsidR="00074D38" w:rsidRDefault="00074D38">
      <w:pPr>
        <w:spacing w:after="0" w:line="240" w:lineRule="auto"/>
        <w:rPr>
          <w:lang w:eastAsia="en-US"/>
        </w:rPr>
      </w:pPr>
      <w:r>
        <w:br w:type="page"/>
      </w:r>
    </w:p>
    <w:p w:rsidR="008415A4" w:rsidRDefault="008415A4" w:rsidP="00D7229A">
      <w:pPr>
        <w:pStyle w:val="NoSpacing"/>
      </w:pPr>
    </w:p>
    <w:p w:rsidR="000832E8" w:rsidRPr="008415A4" w:rsidRDefault="00B71018" w:rsidP="00D7229A">
      <w:pPr>
        <w:pStyle w:val="NoSpacing"/>
        <w:rPr>
          <w:u w:val="single"/>
        </w:rPr>
      </w:pPr>
      <w:r>
        <w:rPr>
          <w:u w:val="single"/>
        </w:rPr>
        <w:t>The type</w:t>
      </w:r>
      <w:r w:rsidR="000832E8" w:rsidRPr="008415A4">
        <w:rPr>
          <w:u w:val="single"/>
        </w:rPr>
        <w:t xml:space="preserve"> of applications</w:t>
      </w:r>
      <w:r>
        <w:rPr>
          <w:u w:val="single"/>
        </w:rPr>
        <w:t xml:space="preserve"> made</w:t>
      </w:r>
      <w:r w:rsidR="000832E8" w:rsidRPr="008415A4">
        <w:rPr>
          <w:u w:val="single"/>
        </w:rPr>
        <w:t>:</w:t>
      </w:r>
    </w:p>
    <w:p w:rsidR="0083782B" w:rsidRDefault="0083782B" w:rsidP="00D7229A">
      <w:pPr>
        <w:pStyle w:val="NoSpacing"/>
      </w:pPr>
    </w:p>
    <w:p w:rsidR="000832E8" w:rsidRDefault="000832E8" w:rsidP="00D7229A">
      <w:pPr>
        <w:pStyle w:val="NoSpacing"/>
      </w:pPr>
      <w:r>
        <w:t xml:space="preserve">Of the 50 applications made </w:t>
      </w:r>
      <w:r w:rsidR="001163DB">
        <w:t xml:space="preserve">to the High Court </w:t>
      </w:r>
      <w:r>
        <w:t xml:space="preserve">in </w:t>
      </w:r>
      <w:r w:rsidR="00EB5463">
        <w:t xml:space="preserve">the </w:t>
      </w:r>
      <w:r>
        <w:t>2017</w:t>
      </w:r>
      <w:r w:rsidR="00EB5463">
        <w:t xml:space="preserve"> calendar year</w:t>
      </w:r>
      <w:r>
        <w:t>:</w:t>
      </w:r>
    </w:p>
    <w:p w:rsidR="000832E8" w:rsidRDefault="008415A4" w:rsidP="000832E8">
      <w:pPr>
        <w:pStyle w:val="NoSpacing"/>
        <w:numPr>
          <w:ilvl w:val="0"/>
          <w:numId w:val="4"/>
        </w:numPr>
      </w:pPr>
      <w:r>
        <w:t>72% (36 applications) were for child witnesses</w:t>
      </w:r>
      <w:r w:rsidR="00663675">
        <w:t>; and</w:t>
      </w:r>
    </w:p>
    <w:p w:rsidR="008415A4" w:rsidRDefault="008415A4" w:rsidP="000832E8">
      <w:pPr>
        <w:pStyle w:val="NoSpacing"/>
        <w:numPr>
          <w:ilvl w:val="0"/>
          <w:numId w:val="4"/>
        </w:numPr>
      </w:pPr>
      <w:r>
        <w:t>28% (14 applications) were for vulnerable adults</w:t>
      </w:r>
      <w:r w:rsidR="00663675">
        <w:t>.</w:t>
      </w:r>
    </w:p>
    <w:p w:rsidR="000832E8" w:rsidRDefault="000832E8" w:rsidP="00D7229A">
      <w:pPr>
        <w:pStyle w:val="NoSpacing"/>
      </w:pPr>
    </w:p>
    <w:p w:rsidR="002A4CBA" w:rsidRDefault="001163DB" w:rsidP="00D7229A">
      <w:pPr>
        <w:pStyle w:val="NoSpacing"/>
      </w:pPr>
      <w:r w:rsidRPr="001163DB">
        <w:rPr>
          <w:noProof/>
          <w:lang w:eastAsia="en-GB"/>
        </w:rPr>
        <w:drawing>
          <wp:inline distT="0" distB="0" distL="0" distR="0" wp14:anchorId="2000AFEF" wp14:editId="556A2AEE">
            <wp:extent cx="6372225" cy="47145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8024" cy="4718854"/>
                    </a:xfrm>
                    <a:prstGeom prst="rect">
                      <a:avLst/>
                    </a:prstGeom>
                    <a:noFill/>
                    <a:ln>
                      <a:noFill/>
                    </a:ln>
                  </pic:spPr>
                </pic:pic>
              </a:graphicData>
            </a:graphic>
          </wp:inline>
        </w:drawing>
      </w:r>
    </w:p>
    <w:p w:rsidR="002A4CBA" w:rsidRDefault="002A4CBA" w:rsidP="00D7229A">
      <w:pPr>
        <w:pStyle w:val="NoSpacing"/>
      </w:pPr>
    </w:p>
    <w:p w:rsidR="002A4CBA" w:rsidRDefault="002A4CBA" w:rsidP="00D7229A">
      <w:pPr>
        <w:pStyle w:val="NoSpacing"/>
      </w:pPr>
    </w:p>
    <w:p w:rsidR="002A4CBA" w:rsidRDefault="0083782B" w:rsidP="00D7229A">
      <w:pPr>
        <w:pStyle w:val="NoSpacing"/>
      </w:pPr>
      <w:r>
        <w:t>The com</w:t>
      </w:r>
      <w:r w:rsidR="001163DB">
        <w:t>parable figures over the first 10</w:t>
      </w:r>
      <w:r>
        <w:t xml:space="preserve"> m</w:t>
      </w:r>
      <w:r w:rsidR="001163DB">
        <w:t>onths of 2018 are a total of 133</w:t>
      </w:r>
      <w:r>
        <w:t xml:space="preserve"> applications </w:t>
      </w:r>
      <w:r w:rsidR="00663675">
        <w:t>made</w:t>
      </w:r>
      <w:r>
        <w:t xml:space="preserve"> </w:t>
      </w:r>
      <w:r w:rsidR="001163DB">
        <w:t xml:space="preserve">to the High Court </w:t>
      </w:r>
      <w:r w:rsidR="00FD0FD6">
        <w:t xml:space="preserve">in the year to date </w:t>
      </w:r>
      <w:r>
        <w:t>of which:</w:t>
      </w:r>
    </w:p>
    <w:p w:rsidR="0083782B" w:rsidRPr="0083782B" w:rsidRDefault="001163DB" w:rsidP="0083782B">
      <w:pPr>
        <w:pStyle w:val="NoSpacing"/>
        <w:numPr>
          <w:ilvl w:val="0"/>
          <w:numId w:val="4"/>
        </w:numPr>
      </w:pPr>
      <w:r>
        <w:t>79% (105</w:t>
      </w:r>
      <w:r w:rsidR="0083782B" w:rsidRPr="0083782B">
        <w:t xml:space="preserve"> applications) were for child witnesses</w:t>
      </w:r>
      <w:r w:rsidR="00663675">
        <w:t>; and</w:t>
      </w:r>
    </w:p>
    <w:p w:rsidR="0083782B" w:rsidRPr="0083782B" w:rsidRDefault="001163DB" w:rsidP="0083782B">
      <w:pPr>
        <w:pStyle w:val="NoSpacing"/>
        <w:numPr>
          <w:ilvl w:val="0"/>
          <w:numId w:val="4"/>
        </w:numPr>
      </w:pPr>
      <w:r>
        <w:t>21% (28</w:t>
      </w:r>
      <w:r w:rsidR="0083782B" w:rsidRPr="0083782B">
        <w:t xml:space="preserve"> applicat</w:t>
      </w:r>
      <w:r>
        <w:t>ions) were for vulnerable adult witnesses</w:t>
      </w:r>
      <w:r w:rsidR="00663675">
        <w:t>.</w:t>
      </w:r>
    </w:p>
    <w:p w:rsidR="0083782B" w:rsidRDefault="0083782B" w:rsidP="00D7229A">
      <w:pPr>
        <w:pStyle w:val="NoSpacing"/>
      </w:pPr>
    </w:p>
    <w:p w:rsidR="002A4CBA" w:rsidRDefault="002A4CBA" w:rsidP="00D7229A">
      <w:pPr>
        <w:pStyle w:val="NoSpacing"/>
      </w:pPr>
    </w:p>
    <w:p w:rsidR="000832E8" w:rsidRPr="00E05686" w:rsidRDefault="00E05686" w:rsidP="00D7229A">
      <w:pPr>
        <w:pStyle w:val="NoSpacing"/>
        <w:rPr>
          <w:u w:val="single"/>
        </w:rPr>
      </w:pPr>
      <w:r w:rsidRPr="00E05686">
        <w:rPr>
          <w:u w:val="single"/>
        </w:rPr>
        <w:t>The party lodging the application</w:t>
      </w:r>
    </w:p>
    <w:p w:rsidR="00E05686" w:rsidRDefault="00E05686" w:rsidP="00E05686">
      <w:pPr>
        <w:pStyle w:val="NoSpacing"/>
      </w:pPr>
    </w:p>
    <w:p w:rsidR="00E05686" w:rsidRDefault="00E05686" w:rsidP="00E05686">
      <w:pPr>
        <w:pStyle w:val="NoSpacing"/>
      </w:pPr>
      <w:r>
        <w:t>Of the 50 applications made to the High Court in the 2017 calendar year:</w:t>
      </w:r>
    </w:p>
    <w:p w:rsidR="00E05686" w:rsidRDefault="00E05686" w:rsidP="00E05686">
      <w:pPr>
        <w:pStyle w:val="NoSpacing"/>
        <w:numPr>
          <w:ilvl w:val="0"/>
          <w:numId w:val="4"/>
        </w:numPr>
      </w:pPr>
      <w:r>
        <w:t>100% (50 applications) were lodged by the Crown; and</w:t>
      </w:r>
    </w:p>
    <w:p w:rsidR="00E05686" w:rsidRDefault="00E05686" w:rsidP="00E05686">
      <w:pPr>
        <w:pStyle w:val="NoSpacing"/>
        <w:numPr>
          <w:ilvl w:val="0"/>
          <w:numId w:val="4"/>
        </w:numPr>
      </w:pPr>
      <w:r>
        <w:t xml:space="preserve">0% (0 applications) </w:t>
      </w:r>
      <w:proofErr w:type="gramStart"/>
      <w:r>
        <w:t>were</w:t>
      </w:r>
      <w:proofErr w:type="gramEnd"/>
      <w:r>
        <w:t xml:space="preserve"> lodged by the defence.</w:t>
      </w:r>
    </w:p>
    <w:p w:rsidR="00F06958" w:rsidRDefault="00F06958" w:rsidP="00D7229A">
      <w:pPr>
        <w:pStyle w:val="NoSpacing"/>
      </w:pPr>
    </w:p>
    <w:p w:rsidR="000832E8" w:rsidRDefault="000832E8" w:rsidP="00D7229A">
      <w:pPr>
        <w:pStyle w:val="NoSpacing"/>
      </w:pPr>
    </w:p>
    <w:p w:rsidR="000832E8" w:rsidRDefault="000832E8" w:rsidP="00D7229A">
      <w:pPr>
        <w:pStyle w:val="NoSpacing"/>
      </w:pPr>
    </w:p>
    <w:p w:rsidR="000832E8" w:rsidRDefault="000832E8" w:rsidP="00D7229A">
      <w:pPr>
        <w:pStyle w:val="NoSpacing"/>
      </w:pPr>
    </w:p>
    <w:p w:rsidR="000832E8" w:rsidRDefault="000832E8" w:rsidP="00D7229A">
      <w:pPr>
        <w:pStyle w:val="NoSpacing"/>
      </w:pPr>
    </w:p>
    <w:p w:rsidR="000832E8" w:rsidRDefault="000832E8" w:rsidP="00D7229A">
      <w:pPr>
        <w:pStyle w:val="NoSpacing"/>
      </w:pPr>
    </w:p>
    <w:p w:rsidR="000832E8" w:rsidRDefault="000832E8" w:rsidP="009D1C45">
      <w:pPr>
        <w:pStyle w:val="NoSpacing"/>
        <w:pBdr>
          <w:top w:val="single" w:sz="4" w:space="1" w:color="auto"/>
        </w:pBdr>
      </w:pPr>
    </w:p>
    <w:p w:rsidR="00D7229A" w:rsidRPr="009C06C2" w:rsidRDefault="009C06C2" w:rsidP="00D7229A">
      <w:pPr>
        <w:pStyle w:val="NoSpacing"/>
        <w:rPr>
          <w:i/>
          <w:color w:val="365F91" w:themeColor="accent1" w:themeShade="BF"/>
        </w:rPr>
      </w:pPr>
      <w:r w:rsidRPr="009C06C2">
        <w:rPr>
          <w:i/>
          <w:color w:val="365F91" w:themeColor="accent1" w:themeShade="BF"/>
        </w:rPr>
        <w:t xml:space="preserve">STAGE 2 - </w:t>
      </w:r>
      <w:r w:rsidR="00095F05" w:rsidRPr="009C06C2">
        <w:rPr>
          <w:i/>
          <w:color w:val="365F91" w:themeColor="accent1" w:themeShade="BF"/>
        </w:rPr>
        <w:t>APPROACH</w:t>
      </w:r>
      <w:r w:rsidR="00D7229A" w:rsidRPr="009C06C2">
        <w:rPr>
          <w:i/>
          <w:color w:val="365F91" w:themeColor="accent1" w:themeShade="BF"/>
        </w:rPr>
        <w:t xml:space="preserve"> AGREED</w:t>
      </w:r>
    </w:p>
    <w:p w:rsidR="00D7229A" w:rsidRDefault="00D7229A" w:rsidP="00D7229A">
      <w:pPr>
        <w:pStyle w:val="NoSpacing"/>
      </w:pPr>
    </w:p>
    <w:p w:rsidR="008D70CB" w:rsidRDefault="0008504C" w:rsidP="00D7229A">
      <w:pPr>
        <w:pStyle w:val="NoSpacing"/>
      </w:pPr>
      <w:r>
        <w:t xml:space="preserve">Of the 50 applications </w:t>
      </w:r>
      <w:r w:rsidR="00921C01">
        <w:t xml:space="preserve">that were </w:t>
      </w:r>
      <w:r>
        <w:t>m</w:t>
      </w:r>
      <w:r w:rsidR="008D70CB">
        <w:t>ade</w:t>
      </w:r>
      <w:r w:rsidR="000E258D">
        <w:t xml:space="preserve"> in 2017</w:t>
      </w:r>
      <w:r w:rsidR="008D70CB">
        <w:t>:</w:t>
      </w:r>
    </w:p>
    <w:p w:rsidR="00921C01" w:rsidRDefault="00921C01" w:rsidP="00D7229A">
      <w:pPr>
        <w:pStyle w:val="NoSpacing"/>
      </w:pPr>
    </w:p>
    <w:p w:rsidR="0008504C" w:rsidRDefault="008D70CB" w:rsidP="008D70CB">
      <w:pPr>
        <w:pStyle w:val="NoSpacing"/>
        <w:numPr>
          <w:ilvl w:val="0"/>
          <w:numId w:val="4"/>
        </w:numPr>
      </w:pPr>
      <w:r>
        <w:t>33 were called</w:t>
      </w:r>
      <w:r w:rsidR="00D25CCF">
        <w:t xml:space="preserve"> as planned at their scheduled</w:t>
      </w:r>
      <w:r w:rsidR="0008504C">
        <w:t xml:space="preserve"> </w:t>
      </w:r>
      <w:r w:rsidR="00D25CCF">
        <w:t>‘procedural</w:t>
      </w:r>
      <w:r w:rsidR="0008504C">
        <w:t xml:space="preserve"> hearing</w:t>
      </w:r>
      <w:r w:rsidR="00D25CCF">
        <w:t>’</w:t>
      </w:r>
      <w:r w:rsidR="00095F05">
        <w:t xml:space="preserve"> </w:t>
      </w:r>
      <w:r w:rsidR="00095F05" w:rsidRPr="001C188E">
        <w:rPr>
          <w:i/>
        </w:rPr>
        <w:t>(in order to agree the approach for securing a witnesses best evidence)</w:t>
      </w:r>
      <w:r>
        <w:t>; and</w:t>
      </w:r>
    </w:p>
    <w:p w:rsidR="00921C01" w:rsidRDefault="00921C01" w:rsidP="00921C01">
      <w:pPr>
        <w:pStyle w:val="NoSpacing"/>
        <w:ind w:left="780"/>
      </w:pPr>
    </w:p>
    <w:p w:rsidR="005E4165" w:rsidRDefault="00105193" w:rsidP="000E258D">
      <w:pPr>
        <w:pStyle w:val="NoSpacing"/>
        <w:numPr>
          <w:ilvl w:val="0"/>
          <w:numId w:val="4"/>
        </w:numPr>
      </w:pPr>
      <w:r>
        <w:t>17 had been</w:t>
      </w:r>
      <w:r w:rsidR="000E258D">
        <w:t xml:space="preserve"> brought to an end for the following reasons:</w:t>
      </w:r>
    </w:p>
    <w:p w:rsidR="005E4165" w:rsidRDefault="008D70CB" w:rsidP="005E4165">
      <w:pPr>
        <w:pStyle w:val="NoSpacing"/>
        <w:numPr>
          <w:ilvl w:val="1"/>
          <w:numId w:val="4"/>
        </w:numPr>
      </w:pPr>
      <w:r>
        <w:t xml:space="preserve">For 10 cases (20%) – a guilty plea was tendered </w:t>
      </w:r>
    </w:p>
    <w:p w:rsidR="005E4165" w:rsidRDefault="008D70CB" w:rsidP="005E4165">
      <w:pPr>
        <w:pStyle w:val="NoSpacing"/>
        <w:numPr>
          <w:ilvl w:val="1"/>
          <w:numId w:val="4"/>
        </w:numPr>
      </w:pPr>
      <w:r>
        <w:t>For 4 cases (8%) – the crown did not proceed with charge / case</w:t>
      </w:r>
    </w:p>
    <w:p w:rsidR="008D70CB" w:rsidRDefault="008D70CB" w:rsidP="005E4165">
      <w:pPr>
        <w:pStyle w:val="NoSpacing"/>
        <w:numPr>
          <w:ilvl w:val="1"/>
          <w:numId w:val="4"/>
        </w:numPr>
      </w:pPr>
      <w:r>
        <w:t xml:space="preserve">For 3 cases (6%) – the application </w:t>
      </w:r>
      <w:r w:rsidR="000E258D">
        <w:t xml:space="preserve">was </w:t>
      </w:r>
      <w:r>
        <w:t>not moved</w:t>
      </w:r>
    </w:p>
    <w:p w:rsidR="009956EA" w:rsidRDefault="009956EA" w:rsidP="00663675">
      <w:pPr>
        <w:pStyle w:val="NoSpacing"/>
        <w:rPr>
          <w:i/>
        </w:rPr>
      </w:pPr>
    </w:p>
    <w:p w:rsidR="00353B74" w:rsidRDefault="00353B74" w:rsidP="00D7229A">
      <w:pPr>
        <w:pStyle w:val="NoSpacing"/>
      </w:pPr>
    </w:p>
    <w:p w:rsidR="00B71018" w:rsidRDefault="00B71018" w:rsidP="009D1C45">
      <w:pPr>
        <w:pStyle w:val="NoSpacing"/>
        <w:pBdr>
          <w:top w:val="single" w:sz="4" w:space="1" w:color="auto"/>
        </w:pBdr>
      </w:pPr>
    </w:p>
    <w:p w:rsidR="00D7229A" w:rsidRPr="009C06C2" w:rsidRDefault="009C06C2" w:rsidP="00D7229A">
      <w:pPr>
        <w:pStyle w:val="NoSpacing"/>
        <w:rPr>
          <w:i/>
        </w:rPr>
      </w:pPr>
      <w:r w:rsidRPr="009C06C2">
        <w:rPr>
          <w:i/>
          <w:color w:val="365F91" w:themeColor="accent1" w:themeShade="BF"/>
        </w:rPr>
        <w:t xml:space="preserve">STAGE 3 - </w:t>
      </w:r>
      <w:r w:rsidR="00D7229A" w:rsidRPr="009C06C2">
        <w:rPr>
          <w:i/>
          <w:color w:val="365F91" w:themeColor="accent1" w:themeShade="BF"/>
        </w:rPr>
        <w:t>EVIDENCE TAKEN</w:t>
      </w:r>
    </w:p>
    <w:p w:rsidR="00D7229A" w:rsidRDefault="00D7229A" w:rsidP="00D7229A">
      <w:pPr>
        <w:pStyle w:val="NoSpacing"/>
      </w:pPr>
    </w:p>
    <w:p w:rsidR="00D7229A" w:rsidRDefault="000E258D" w:rsidP="00D7229A">
      <w:pPr>
        <w:pStyle w:val="NoSpacing"/>
      </w:pPr>
      <w:r>
        <w:t>Of the 33 applications</w:t>
      </w:r>
      <w:r w:rsidR="005E4165">
        <w:t xml:space="preserve"> </w:t>
      </w:r>
      <w:r w:rsidR="000832E8">
        <w:t xml:space="preserve">that </w:t>
      </w:r>
      <w:r w:rsidR="00AA73FD">
        <w:t>were</w:t>
      </w:r>
      <w:r w:rsidR="00471662">
        <w:t xml:space="preserve"> called </w:t>
      </w:r>
      <w:r w:rsidR="00D25CCF">
        <w:t>at a ‘</w:t>
      </w:r>
      <w:r w:rsidR="005E4165">
        <w:t>commission hearing</w:t>
      </w:r>
      <w:r w:rsidR="00D25CCF">
        <w:t>’</w:t>
      </w:r>
      <w:r>
        <w:t xml:space="preserve"> in 2017:</w:t>
      </w:r>
    </w:p>
    <w:p w:rsidR="00921C01" w:rsidRDefault="00921C01" w:rsidP="00D7229A">
      <w:pPr>
        <w:pStyle w:val="NoSpacing"/>
      </w:pPr>
    </w:p>
    <w:p w:rsidR="005E4165" w:rsidRDefault="00105193" w:rsidP="005E4165">
      <w:pPr>
        <w:pStyle w:val="NoSpacing"/>
        <w:numPr>
          <w:ilvl w:val="0"/>
          <w:numId w:val="7"/>
        </w:numPr>
      </w:pPr>
      <w:r>
        <w:t>29 witnesses did have</w:t>
      </w:r>
      <w:r w:rsidR="005E4165">
        <w:t xml:space="preserve"> their evidence taken by a commissioner: and</w:t>
      </w:r>
    </w:p>
    <w:p w:rsidR="00921C01" w:rsidRDefault="00921C01" w:rsidP="00921C01">
      <w:pPr>
        <w:pStyle w:val="NoSpacing"/>
        <w:ind w:left="720"/>
      </w:pPr>
    </w:p>
    <w:p w:rsidR="005E4165" w:rsidRDefault="00105193" w:rsidP="005E4165">
      <w:pPr>
        <w:pStyle w:val="NoSpacing"/>
        <w:numPr>
          <w:ilvl w:val="0"/>
          <w:numId w:val="7"/>
        </w:numPr>
      </w:pPr>
      <w:r>
        <w:t>4 had been</w:t>
      </w:r>
      <w:r w:rsidR="005E4165">
        <w:t xml:space="preserve"> brought to an end for the following reasons:</w:t>
      </w:r>
    </w:p>
    <w:p w:rsidR="00E31619" w:rsidRDefault="005E4165" w:rsidP="00E31619">
      <w:pPr>
        <w:pStyle w:val="NoSpacing"/>
        <w:numPr>
          <w:ilvl w:val="1"/>
          <w:numId w:val="7"/>
        </w:numPr>
        <w:rPr>
          <w:i/>
          <w:iCs/>
        </w:rPr>
      </w:pPr>
      <w:r w:rsidRPr="00E31619">
        <w:rPr>
          <w:i/>
          <w:iCs/>
        </w:rPr>
        <w:t xml:space="preserve">For 1 case (2%) – </w:t>
      </w:r>
      <w:r w:rsidR="00E31619">
        <w:rPr>
          <w:i/>
          <w:iCs/>
        </w:rPr>
        <w:t xml:space="preserve">the </w:t>
      </w:r>
      <w:r w:rsidR="00732273" w:rsidRPr="00E31619">
        <w:rPr>
          <w:i/>
          <w:iCs/>
        </w:rPr>
        <w:t xml:space="preserve">witness withdrew </w:t>
      </w:r>
      <w:r w:rsidR="00732273">
        <w:rPr>
          <w:i/>
          <w:iCs/>
        </w:rPr>
        <w:t xml:space="preserve">in advance </w:t>
      </w:r>
    </w:p>
    <w:p w:rsidR="00E31619" w:rsidRPr="00E31619" w:rsidRDefault="00E31619" w:rsidP="00E31619">
      <w:pPr>
        <w:pStyle w:val="NoSpacing"/>
        <w:numPr>
          <w:ilvl w:val="1"/>
          <w:numId w:val="7"/>
        </w:numPr>
        <w:rPr>
          <w:i/>
          <w:iCs/>
        </w:rPr>
      </w:pPr>
      <w:r w:rsidRPr="00E31619">
        <w:rPr>
          <w:i/>
          <w:iCs/>
        </w:rPr>
        <w:t xml:space="preserve">For 1 case (2%) – </w:t>
      </w:r>
      <w:r>
        <w:rPr>
          <w:i/>
          <w:iCs/>
        </w:rPr>
        <w:t xml:space="preserve">the </w:t>
      </w:r>
      <w:r w:rsidRPr="00E31619">
        <w:rPr>
          <w:i/>
          <w:iCs/>
        </w:rPr>
        <w:t xml:space="preserve">witness </w:t>
      </w:r>
      <w:r>
        <w:rPr>
          <w:i/>
          <w:iCs/>
        </w:rPr>
        <w:t>failed to appear</w:t>
      </w:r>
      <w:r w:rsidR="000E7A6B">
        <w:rPr>
          <w:i/>
          <w:iCs/>
        </w:rPr>
        <w:t xml:space="preserve"> on the day</w:t>
      </w:r>
    </w:p>
    <w:p w:rsidR="005E4165" w:rsidRPr="005E4165" w:rsidRDefault="005E4165" w:rsidP="005E4165">
      <w:pPr>
        <w:pStyle w:val="NoSpacing"/>
        <w:numPr>
          <w:ilvl w:val="1"/>
          <w:numId w:val="7"/>
        </w:numPr>
      </w:pPr>
      <w:r w:rsidRPr="00E31619">
        <w:rPr>
          <w:i/>
          <w:iCs/>
        </w:rPr>
        <w:t xml:space="preserve">For  </w:t>
      </w:r>
      <w:r w:rsidR="00E31619">
        <w:rPr>
          <w:i/>
          <w:iCs/>
        </w:rPr>
        <w:t>2</w:t>
      </w:r>
      <w:r w:rsidRPr="00E31619">
        <w:rPr>
          <w:i/>
          <w:iCs/>
        </w:rPr>
        <w:t xml:space="preserve"> cases (</w:t>
      </w:r>
      <w:r w:rsidR="00E31619">
        <w:rPr>
          <w:i/>
          <w:iCs/>
        </w:rPr>
        <w:t>4</w:t>
      </w:r>
      <w:r w:rsidRPr="00E31619">
        <w:rPr>
          <w:i/>
          <w:iCs/>
        </w:rPr>
        <w:t>%) – the crown did not proceed with charge / case</w:t>
      </w:r>
    </w:p>
    <w:p w:rsidR="00D7229A" w:rsidRDefault="00D7229A" w:rsidP="00D7229A">
      <w:pPr>
        <w:pStyle w:val="NoSpacing"/>
      </w:pPr>
    </w:p>
    <w:p w:rsidR="00FC123B" w:rsidRPr="006459B4" w:rsidRDefault="006459B4" w:rsidP="00D7229A">
      <w:pPr>
        <w:pStyle w:val="NoSpacing"/>
        <w:rPr>
          <w:u w:val="single"/>
        </w:rPr>
      </w:pPr>
      <w:r>
        <w:rPr>
          <w:u w:val="single"/>
        </w:rPr>
        <w:t>Mode of Ap</w:t>
      </w:r>
      <w:r w:rsidRPr="006459B4">
        <w:rPr>
          <w:u w:val="single"/>
        </w:rPr>
        <w:t>p</w:t>
      </w:r>
      <w:r>
        <w:rPr>
          <w:u w:val="single"/>
        </w:rPr>
        <w:t>e</w:t>
      </w:r>
      <w:r w:rsidRPr="006459B4">
        <w:rPr>
          <w:u w:val="single"/>
        </w:rPr>
        <w:t>arance</w:t>
      </w:r>
      <w:r w:rsidR="000276A4">
        <w:rPr>
          <w:u w:val="single"/>
        </w:rPr>
        <w:t xml:space="preserve"> – for witnesses</w:t>
      </w:r>
    </w:p>
    <w:p w:rsidR="001B2CB3" w:rsidRDefault="001B2CB3" w:rsidP="00D7229A">
      <w:pPr>
        <w:pStyle w:val="NoSpacing"/>
      </w:pPr>
    </w:p>
    <w:p w:rsidR="00D7229A" w:rsidRDefault="00A225FA" w:rsidP="00D7229A">
      <w:pPr>
        <w:pStyle w:val="NoSpacing"/>
      </w:pPr>
      <w:r>
        <w:t xml:space="preserve">Of those 29 witnesses who </w:t>
      </w:r>
      <w:r w:rsidR="00E31619">
        <w:t>did h</w:t>
      </w:r>
      <w:r>
        <w:t>ave evidence</w:t>
      </w:r>
      <w:r w:rsidR="007F4556" w:rsidRPr="007F4556">
        <w:t xml:space="preserve"> </w:t>
      </w:r>
      <w:r w:rsidR="00E31619">
        <w:t xml:space="preserve">taken </w:t>
      </w:r>
      <w:r w:rsidR="007F4556">
        <w:t>at a commission hearing</w:t>
      </w:r>
      <w:r>
        <w:t>:</w:t>
      </w:r>
    </w:p>
    <w:p w:rsidR="00A225FA" w:rsidRDefault="00A225FA" w:rsidP="00A225FA">
      <w:pPr>
        <w:pStyle w:val="NoSpacing"/>
        <w:numPr>
          <w:ilvl w:val="0"/>
          <w:numId w:val="9"/>
        </w:numPr>
      </w:pPr>
      <w:r>
        <w:t>26 (90%) appeared in person; and</w:t>
      </w:r>
    </w:p>
    <w:p w:rsidR="00A225FA" w:rsidRDefault="00A225FA" w:rsidP="00A225FA">
      <w:pPr>
        <w:pStyle w:val="NoSpacing"/>
        <w:numPr>
          <w:ilvl w:val="0"/>
          <w:numId w:val="9"/>
        </w:numPr>
      </w:pPr>
      <w:r>
        <w:t>3 (10%) appeared by live TV link from another location.</w:t>
      </w:r>
    </w:p>
    <w:p w:rsidR="00A225FA" w:rsidRDefault="00A225FA" w:rsidP="00D7229A">
      <w:pPr>
        <w:pStyle w:val="NoSpacing"/>
      </w:pPr>
    </w:p>
    <w:p w:rsidR="0007206D" w:rsidRDefault="0007206D" w:rsidP="00D7229A">
      <w:pPr>
        <w:pStyle w:val="NoSpacing"/>
      </w:pPr>
    </w:p>
    <w:p w:rsidR="0007206D" w:rsidRPr="006C7B0E" w:rsidRDefault="0007206D" w:rsidP="0007206D">
      <w:pPr>
        <w:pStyle w:val="NoSpacing"/>
        <w:rPr>
          <w:u w:val="single"/>
        </w:rPr>
      </w:pPr>
      <w:r w:rsidRPr="006C7B0E">
        <w:rPr>
          <w:u w:val="single"/>
        </w:rPr>
        <w:t>Incidence of - Multiple Witnesses per Case</w:t>
      </w:r>
    </w:p>
    <w:p w:rsidR="00D31DA4" w:rsidRDefault="00D31DA4" w:rsidP="0007206D">
      <w:pPr>
        <w:pStyle w:val="NoSpacing"/>
      </w:pPr>
    </w:p>
    <w:p w:rsidR="0007206D" w:rsidRDefault="000A59B3" w:rsidP="0007206D">
      <w:pPr>
        <w:pStyle w:val="NoSpacing"/>
      </w:pPr>
      <w:r>
        <w:t>I</w:t>
      </w:r>
      <w:r w:rsidR="00471662">
        <w:t>n this sample period t</w:t>
      </w:r>
      <w:r w:rsidR="0007206D">
        <w:t xml:space="preserve">he 33 </w:t>
      </w:r>
      <w:r w:rsidR="001919F0">
        <w:t xml:space="preserve">witness </w:t>
      </w:r>
      <w:r w:rsidR="0007206D">
        <w:t xml:space="preserve">applications </w:t>
      </w:r>
      <w:r w:rsidR="001919F0">
        <w:t>scheduled</w:t>
      </w:r>
      <w:r w:rsidR="0007206D">
        <w:t xml:space="preserve"> </w:t>
      </w:r>
      <w:r w:rsidR="00471662">
        <w:t>w</w:t>
      </w:r>
      <w:r w:rsidR="0007206D">
        <w:t xml:space="preserve">ere </w:t>
      </w:r>
      <w:r>
        <w:t>called regarding</w:t>
      </w:r>
      <w:r w:rsidR="00471662">
        <w:t xml:space="preserve"> 25 cases</w:t>
      </w:r>
      <w:r w:rsidR="0007206D">
        <w:t>:</w:t>
      </w:r>
    </w:p>
    <w:tbl>
      <w:tblPr>
        <w:tblStyle w:val="TableGrid"/>
        <w:tblW w:w="0" w:type="auto"/>
        <w:tblLook w:val="04A0" w:firstRow="1" w:lastRow="0" w:firstColumn="1" w:lastColumn="0" w:noHBand="0" w:noVBand="1"/>
      </w:tblPr>
      <w:tblGrid>
        <w:gridCol w:w="4503"/>
        <w:gridCol w:w="1275"/>
        <w:gridCol w:w="1275"/>
        <w:gridCol w:w="1276"/>
      </w:tblGrid>
      <w:tr w:rsidR="00C61008" w:rsidRPr="006A7BFA" w:rsidTr="000276A4">
        <w:tc>
          <w:tcPr>
            <w:tcW w:w="4503" w:type="dxa"/>
            <w:shd w:val="clear" w:color="auto" w:fill="365F91" w:themeFill="accent1" w:themeFillShade="BF"/>
          </w:tcPr>
          <w:p w:rsidR="00C61008" w:rsidRPr="006A7BFA" w:rsidRDefault="00C61008" w:rsidP="005D6644">
            <w:pPr>
              <w:pStyle w:val="NoSpacing"/>
              <w:rPr>
                <w:color w:val="FFFFFF" w:themeColor="background1"/>
                <w:sz w:val="20"/>
                <w:szCs w:val="20"/>
              </w:rPr>
            </w:pPr>
            <w:r>
              <w:t xml:space="preserve"> </w:t>
            </w:r>
            <w:r w:rsidRPr="006A7BFA">
              <w:rPr>
                <w:color w:val="FFFFFF" w:themeColor="background1"/>
                <w:sz w:val="20"/>
                <w:szCs w:val="20"/>
              </w:rPr>
              <w:t xml:space="preserve">The Pattern of Applications </w:t>
            </w:r>
          </w:p>
        </w:tc>
        <w:tc>
          <w:tcPr>
            <w:tcW w:w="1275" w:type="dxa"/>
            <w:shd w:val="clear" w:color="auto" w:fill="365F91" w:themeFill="accent1" w:themeFillShade="BF"/>
          </w:tcPr>
          <w:p w:rsidR="00C61008" w:rsidRDefault="00C61008" w:rsidP="005D6644">
            <w:pPr>
              <w:pStyle w:val="NoSpacing"/>
              <w:jc w:val="center"/>
              <w:rPr>
                <w:color w:val="FFFFFF" w:themeColor="background1"/>
                <w:sz w:val="20"/>
                <w:szCs w:val="20"/>
              </w:rPr>
            </w:pPr>
            <w:r>
              <w:rPr>
                <w:color w:val="FFFFFF" w:themeColor="background1"/>
                <w:sz w:val="20"/>
                <w:szCs w:val="20"/>
              </w:rPr>
              <w:t>Witness</w:t>
            </w:r>
          </w:p>
          <w:p w:rsidR="00C61008" w:rsidRPr="006A7BFA" w:rsidRDefault="00C61008" w:rsidP="005D6644">
            <w:pPr>
              <w:pStyle w:val="NoSpacing"/>
              <w:jc w:val="center"/>
              <w:rPr>
                <w:color w:val="FFFFFF" w:themeColor="background1"/>
                <w:sz w:val="20"/>
                <w:szCs w:val="20"/>
              </w:rPr>
            </w:pPr>
            <w:r>
              <w:rPr>
                <w:color w:val="FFFFFF" w:themeColor="background1"/>
                <w:sz w:val="20"/>
                <w:szCs w:val="20"/>
              </w:rPr>
              <w:t>Count</w:t>
            </w:r>
          </w:p>
        </w:tc>
        <w:tc>
          <w:tcPr>
            <w:tcW w:w="1275" w:type="dxa"/>
            <w:shd w:val="clear" w:color="auto" w:fill="365F91" w:themeFill="accent1" w:themeFillShade="BF"/>
          </w:tcPr>
          <w:p w:rsidR="00C61008" w:rsidRPr="006A7BFA" w:rsidRDefault="00C61008" w:rsidP="005D6644">
            <w:pPr>
              <w:pStyle w:val="NoSpacing"/>
              <w:jc w:val="center"/>
              <w:rPr>
                <w:color w:val="FFFFFF" w:themeColor="background1"/>
                <w:sz w:val="20"/>
                <w:szCs w:val="20"/>
              </w:rPr>
            </w:pPr>
            <w:r w:rsidRPr="006A7BFA">
              <w:rPr>
                <w:color w:val="FFFFFF" w:themeColor="background1"/>
                <w:sz w:val="20"/>
                <w:szCs w:val="20"/>
              </w:rPr>
              <w:t>Case</w:t>
            </w:r>
          </w:p>
          <w:p w:rsidR="00C61008" w:rsidRPr="006A7BFA" w:rsidRDefault="00C61008" w:rsidP="005D6644">
            <w:pPr>
              <w:pStyle w:val="NoSpacing"/>
              <w:jc w:val="center"/>
              <w:rPr>
                <w:color w:val="FFFFFF" w:themeColor="background1"/>
                <w:sz w:val="20"/>
                <w:szCs w:val="20"/>
              </w:rPr>
            </w:pPr>
            <w:r w:rsidRPr="006A7BFA">
              <w:rPr>
                <w:color w:val="FFFFFF" w:themeColor="background1"/>
                <w:sz w:val="20"/>
                <w:szCs w:val="20"/>
              </w:rPr>
              <w:t>Count</w:t>
            </w:r>
          </w:p>
        </w:tc>
        <w:tc>
          <w:tcPr>
            <w:tcW w:w="1276" w:type="dxa"/>
            <w:shd w:val="clear" w:color="auto" w:fill="365F91" w:themeFill="accent1" w:themeFillShade="BF"/>
          </w:tcPr>
          <w:p w:rsidR="00C61008" w:rsidRDefault="00C61008" w:rsidP="00C61008">
            <w:pPr>
              <w:pStyle w:val="NoSpacing"/>
              <w:jc w:val="center"/>
              <w:rPr>
                <w:i/>
                <w:color w:val="FFFFFF" w:themeColor="background1"/>
                <w:sz w:val="20"/>
                <w:szCs w:val="20"/>
              </w:rPr>
            </w:pPr>
            <w:r w:rsidRPr="006A7BFA">
              <w:rPr>
                <w:i/>
                <w:color w:val="FFFFFF" w:themeColor="background1"/>
                <w:sz w:val="20"/>
                <w:szCs w:val="20"/>
              </w:rPr>
              <w:t>%</w:t>
            </w:r>
            <w:r>
              <w:rPr>
                <w:i/>
                <w:color w:val="FFFFFF" w:themeColor="background1"/>
                <w:sz w:val="20"/>
                <w:szCs w:val="20"/>
              </w:rPr>
              <w:t xml:space="preserve"> </w:t>
            </w:r>
            <w:r w:rsidRPr="006A7BFA">
              <w:rPr>
                <w:i/>
                <w:color w:val="FFFFFF" w:themeColor="background1"/>
                <w:sz w:val="20"/>
                <w:szCs w:val="20"/>
              </w:rPr>
              <w:t>Mix</w:t>
            </w:r>
          </w:p>
          <w:p w:rsidR="00C61008" w:rsidRPr="006A7BFA" w:rsidRDefault="00C61008" w:rsidP="00C61008">
            <w:pPr>
              <w:pStyle w:val="NoSpacing"/>
              <w:jc w:val="center"/>
              <w:rPr>
                <w:i/>
                <w:color w:val="FFFFFF" w:themeColor="background1"/>
                <w:sz w:val="20"/>
                <w:szCs w:val="20"/>
              </w:rPr>
            </w:pPr>
            <w:r>
              <w:rPr>
                <w:i/>
                <w:color w:val="FFFFFF" w:themeColor="background1"/>
                <w:sz w:val="20"/>
                <w:szCs w:val="20"/>
              </w:rPr>
              <w:t>(cases)</w:t>
            </w:r>
          </w:p>
        </w:tc>
      </w:tr>
      <w:tr w:rsidR="00C61008" w:rsidRPr="006A7BFA" w:rsidTr="000276A4">
        <w:tc>
          <w:tcPr>
            <w:tcW w:w="4503" w:type="dxa"/>
          </w:tcPr>
          <w:p w:rsidR="00C61008" w:rsidRPr="006A7BFA" w:rsidRDefault="00C61008" w:rsidP="005D6644">
            <w:pPr>
              <w:pStyle w:val="NoSpacing"/>
              <w:rPr>
                <w:sz w:val="20"/>
                <w:szCs w:val="20"/>
              </w:rPr>
            </w:pPr>
            <w:r w:rsidRPr="006A7BFA">
              <w:rPr>
                <w:sz w:val="20"/>
                <w:szCs w:val="20"/>
              </w:rPr>
              <w:t>Applications -</w:t>
            </w:r>
            <w:r>
              <w:rPr>
                <w:sz w:val="20"/>
                <w:szCs w:val="20"/>
              </w:rPr>
              <w:t xml:space="preserve"> from 1 witness per </w:t>
            </w:r>
            <w:r w:rsidRPr="006A7BFA">
              <w:rPr>
                <w:sz w:val="20"/>
                <w:szCs w:val="20"/>
              </w:rPr>
              <w:t>case</w:t>
            </w:r>
          </w:p>
        </w:tc>
        <w:tc>
          <w:tcPr>
            <w:tcW w:w="1275" w:type="dxa"/>
          </w:tcPr>
          <w:p w:rsidR="00C61008" w:rsidRDefault="00C61008" w:rsidP="005D6644">
            <w:pPr>
              <w:pStyle w:val="NoSpacing"/>
              <w:jc w:val="center"/>
              <w:rPr>
                <w:sz w:val="20"/>
                <w:szCs w:val="20"/>
              </w:rPr>
            </w:pPr>
            <w:r>
              <w:rPr>
                <w:sz w:val="20"/>
                <w:szCs w:val="20"/>
              </w:rPr>
              <w:t>18</w:t>
            </w:r>
          </w:p>
        </w:tc>
        <w:tc>
          <w:tcPr>
            <w:tcW w:w="1275" w:type="dxa"/>
          </w:tcPr>
          <w:p w:rsidR="00C61008" w:rsidRPr="006A7BFA" w:rsidRDefault="00C61008" w:rsidP="005D6644">
            <w:pPr>
              <w:pStyle w:val="NoSpacing"/>
              <w:jc w:val="center"/>
              <w:rPr>
                <w:sz w:val="20"/>
                <w:szCs w:val="20"/>
              </w:rPr>
            </w:pPr>
            <w:r>
              <w:rPr>
                <w:sz w:val="20"/>
                <w:szCs w:val="20"/>
              </w:rPr>
              <w:t>18</w:t>
            </w:r>
          </w:p>
        </w:tc>
        <w:tc>
          <w:tcPr>
            <w:tcW w:w="1276" w:type="dxa"/>
          </w:tcPr>
          <w:p w:rsidR="00C61008" w:rsidRPr="006A7BFA" w:rsidRDefault="00C61008" w:rsidP="005D6644">
            <w:pPr>
              <w:pStyle w:val="NoSpacing"/>
              <w:jc w:val="center"/>
              <w:rPr>
                <w:i/>
                <w:sz w:val="20"/>
                <w:szCs w:val="20"/>
              </w:rPr>
            </w:pPr>
            <w:r>
              <w:rPr>
                <w:i/>
                <w:sz w:val="20"/>
                <w:szCs w:val="20"/>
              </w:rPr>
              <w:t>72</w:t>
            </w:r>
            <w:r w:rsidRPr="006A7BFA">
              <w:rPr>
                <w:i/>
                <w:sz w:val="20"/>
                <w:szCs w:val="20"/>
              </w:rPr>
              <w:t>%</w:t>
            </w:r>
          </w:p>
        </w:tc>
      </w:tr>
      <w:tr w:rsidR="00C61008" w:rsidRPr="006A7BFA" w:rsidTr="000276A4">
        <w:tc>
          <w:tcPr>
            <w:tcW w:w="4503" w:type="dxa"/>
          </w:tcPr>
          <w:p w:rsidR="00C61008" w:rsidRPr="006A7BFA" w:rsidRDefault="00C61008" w:rsidP="005D6644">
            <w:pPr>
              <w:pStyle w:val="NoSpacing"/>
              <w:rPr>
                <w:sz w:val="20"/>
                <w:szCs w:val="20"/>
              </w:rPr>
            </w:pPr>
            <w:r w:rsidRPr="006A7BFA">
              <w:rPr>
                <w:sz w:val="20"/>
                <w:szCs w:val="20"/>
              </w:rPr>
              <w:t>Applications - from 2 witness’s</w:t>
            </w:r>
            <w:r>
              <w:rPr>
                <w:sz w:val="20"/>
                <w:szCs w:val="20"/>
              </w:rPr>
              <w:t xml:space="preserve"> per</w:t>
            </w:r>
            <w:r w:rsidRPr="006A7BFA">
              <w:rPr>
                <w:sz w:val="20"/>
                <w:szCs w:val="20"/>
              </w:rPr>
              <w:t xml:space="preserve"> case</w:t>
            </w:r>
          </w:p>
        </w:tc>
        <w:tc>
          <w:tcPr>
            <w:tcW w:w="1275" w:type="dxa"/>
          </w:tcPr>
          <w:p w:rsidR="00C61008" w:rsidRDefault="00C61008" w:rsidP="005D6644">
            <w:pPr>
              <w:pStyle w:val="NoSpacing"/>
              <w:jc w:val="center"/>
              <w:rPr>
                <w:sz w:val="20"/>
                <w:szCs w:val="20"/>
              </w:rPr>
            </w:pPr>
            <w:r>
              <w:rPr>
                <w:sz w:val="20"/>
                <w:szCs w:val="20"/>
              </w:rPr>
              <w:t>12</w:t>
            </w:r>
          </w:p>
        </w:tc>
        <w:tc>
          <w:tcPr>
            <w:tcW w:w="1275" w:type="dxa"/>
          </w:tcPr>
          <w:p w:rsidR="00C61008" w:rsidRPr="006A7BFA" w:rsidRDefault="00C61008" w:rsidP="005D6644">
            <w:pPr>
              <w:pStyle w:val="NoSpacing"/>
              <w:jc w:val="center"/>
              <w:rPr>
                <w:sz w:val="20"/>
                <w:szCs w:val="20"/>
              </w:rPr>
            </w:pPr>
            <w:r>
              <w:rPr>
                <w:sz w:val="20"/>
                <w:szCs w:val="20"/>
              </w:rPr>
              <w:t>6</w:t>
            </w:r>
          </w:p>
        </w:tc>
        <w:tc>
          <w:tcPr>
            <w:tcW w:w="1276" w:type="dxa"/>
          </w:tcPr>
          <w:p w:rsidR="00C61008" w:rsidRPr="006A7BFA" w:rsidRDefault="00C61008" w:rsidP="005D6644">
            <w:pPr>
              <w:pStyle w:val="NoSpacing"/>
              <w:jc w:val="center"/>
              <w:rPr>
                <w:i/>
                <w:sz w:val="20"/>
                <w:szCs w:val="20"/>
              </w:rPr>
            </w:pPr>
            <w:r>
              <w:rPr>
                <w:i/>
                <w:sz w:val="20"/>
                <w:szCs w:val="20"/>
              </w:rPr>
              <w:t>24</w:t>
            </w:r>
            <w:r w:rsidRPr="006A7BFA">
              <w:rPr>
                <w:i/>
                <w:sz w:val="20"/>
                <w:szCs w:val="20"/>
              </w:rPr>
              <w:t>%</w:t>
            </w:r>
          </w:p>
        </w:tc>
      </w:tr>
      <w:tr w:rsidR="00C61008" w:rsidRPr="006A7BFA" w:rsidTr="000276A4">
        <w:tc>
          <w:tcPr>
            <w:tcW w:w="4503" w:type="dxa"/>
          </w:tcPr>
          <w:p w:rsidR="00C61008" w:rsidRPr="006A7BFA" w:rsidRDefault="00C61008" w:rsidP="005D6644">
            <w:pPr>
              <w:pStyle w:val="NoSpacing"/>
              <w:rPr>
                <w:sz w:val="20"/>
                <w:szCs w:val="20"/>
              </w:rPr>
            </w:pPr>
            <w:r w:rsidRPr="006A7BFA">
              <w:rPr>
                <w:sz w:val="20"/>
                <w:szCs w:val="20"/>
              </w:rPr>
              <w:t>Applications - from 3 witness’s</w:t>
            </w:r>
            <w:r>
              <w:rPr>
                <w:sz w:val="20"/>
                <w:szCs w:val="20"/>
              </w:rPr>
              <w:t xml:space="preserve"> per</w:t>
            </w:r>
            <w:r w:rsidRPr="006A7BFA">
              <w:rPr>
                <w:sz w:val="20"/>
                <w:szCs w:val="20"/>
              </w:rPr>
              <w:t xml:space="preserve"> case</w:t>
            </w:r>
            <w:r>
              <w:rPr>
                <w:rStyle w:val="FootnoteReference"/>
                <w:sz w:val="20"/>
                <w:szCs w:val="20"/>
              </w:rPr>
              <w:footnoteReference w:id="2"/>
            </w:r>
          </w:p>
        </w:tc>
        <w:tc>
          <w:tcPr>
            <w:tcW w:w="1275" w:type="dxa"/>
          </w:tcPr>
          <w:p w:rsidR="00C61008" w:rsidRDefault="00C61008" w:rsidP="005D6644">
            <w:pPr>
              <w:pStyle w:val="NoSpacing"/>
              <w:jc w:val="center"/>
              <w:rPr>
                <w:sz w:val="20"/>
                <w:szCs w:val="20"/>
              </w:rPr>
            </w:pPr>
            <w:r>
              <w:rPr>
                <w:sz w:val="20"/>
                <w:szCs w:val="20"/>
              </w:rPr>
              <w:t>3</w:t>
            </w:r>
          </w:p>
        </w:tc>
        <w:tc>
          <w:tcPr>
            <w:tcW w:w="1275" w:type="dxa"/>
          </w:tcPr>
          <w:p w:rsidR="00C61008" w:rsidRPr="006A7BFA" w:rsidRDefault="00C61008" w:rsidP="005D6644">
            <w:pPr>
              <w:pStyle w:val="NoSpacing"/>
              <w:jc w:val="center"/>
              <w:rPr>
                <w:sz w:val="20"/>
                <w:szCs w:val="20"/>
              </w:rPr>
            </w:pPr>
            <w:r>
              <w:rPr>
                <w:sz w:val="20"/>
                <w:szCs w:val="20"/>
              </w:rPr>
              <w:t>1</w:t>
            </w:r>
          </w:p>
        </w:tc>
        <w:tc>
          <w:tcPr>
            <w:tcW w:w="1276" w:type="dxa"/>
          </w:tcPr>
          <w:p w:rsidR="00C61008" w:rsidRPr="006A7BFA" w:rsidRDefault="00C61008" w:rsidP="005D6644">
            <w:pPr>
              <w:pStyle w:val="NoSpacing"/>
              <w:jc w:val="center"/>
              <w:rPr>
                <w:i/>
                <w:sz w:val="20"/>
                <w:szCs w:val="20"/>
              </w:rPr>
            </w:pPr>
            <w:r>
              <w:rPr>
                <w:i/>
                <w:sz w:val="20"/>
                <w:szCs w:val="20"/>
              </w:rPr>
              <w:t>4%</w:t>
            </w:r>
          </w:p>
        </w:tc>
      </w:tr>
      <w:tr w:rsidR="00C61008" w:rsidRPr="006A7BFA" w:rsidTr="000276A4">
        <w:tc>
          <w:tcPr>
            <w:tcW w:w="4503" w:type="dxa"/>
          </w:tcPr>
          <w:p w:rsidR="00C61008" w:rsidRPr="006A7BFA" w:rsidRDefault="00C61008" w:rsidP="005D6644">
            <w:pPr>
              <w:pStyle w:val="NoSpacing"/>
              <w:rPr>
                <w:sz w:val="20"/>
                <w:szCs w:val="20"/>
              </w:rPr>
            </w:pPr>
          </w:p>
        </w:tc>
        <w:tc>
          <w:tcPr>
            <w:tcW w:w="1275" w:type="dxa"/>
          </w:tcPr>
          <w:p w:rsidR="00C61008" w:rsidRDefault="00C61008" w:rsidP="005D6644">
            <w:pPr>
              <w:pStyle w:val="NoSpacing"/>
              <w:jc w:val="center"/>
              <w:rPr>
                <w:sz w:val="20"/>
                <w:szCs w:val="20"/>
              </w:rPr>
            </w:pPr>
            <w:r>
              <w:rPr>
                <w:sz w:val="20"/>
                <w:szCs w:val="20"/>
              </w:rPr>
              <w:t>33</w:t>
            </w:r>
          </w:p>
        </w:tc>
        <w:tc>
          <w:tcPr>
            <w:tcW w:w="1275" w:type="dxa"/>
          </w:tcPr>
          <w:p w:rsidR="00C61008" w:rsidRPr="006A7BFA" w:rsidRDefault="00C61008" w:rsidP="005D6644">
            <w:pPr>
              <w:pStyle w:val="NoSpacing"/>
              <w:jc w:val="center"/>
              <w:rPr>
                <w:sz w:val="20"/>
                <w:szCs w:val="20"/>
              </w:rPr>
            </w:pPr>
            <w:r>
              <w:rPr>
                <w:sz w:val="20"/>
                <w:szCs w:val="20"/>
              </w:rPr>
              <w:t>25</w:t>
            </w:r>
          </w:p>
        </w:tc>
        <w:tc>
          <w:tcPr>
            <w:tcW w:w="1276" w:type="dxa"/>
          </w:tcPr>
          <w:p w:rsidR="00C61008" w:rsidRPr="006A7BFA" w:rsidRDefault="00C61008" w:rsidP="005D6644">
            <w:pPr>
              <w:pStyle w:val="NoSpacing"/>
              <w:jc w:val="center"/>
              <w:rPr>
                <w:i/>
                <w:sz w:val="20"/>
                <w:szCs w:val="20"/>
              </w:rPr>
            </w:pPr>
            <w:r w:rsidRPr="006A7BFA">
              <w:rPr>
                <w:i/>
                <w:sz w:val="20"/>
                <w:szCs w:val="20"/>
              </w:rPr>
              <w:t>100%</w:t>
            </w:r>
          </w:p>
        </w:tc>
      </w:tr>
    </w:tbl>
    <w:p w:rsidR="0007206D" w:rsidRPr="0004392C" w:rsidRDefault="0007206D" w:rsidP="0007206D">
      <w:pPr>
        <w:pStyle w:val="NoSpacing"/>
      </w:pPr>
    </w:p>
    <w:p w:rsidR="003C3210" w:rsidRDefault="00D31DA4" w:rsidP="00D31DA4">
      <w:pPr>
        <w:pStyle w:val="NoSpacing"/>
      </w:pPr>
      <w:r>
        <w:t xml:space="preserve">In </w:t>
      </w:r>
      <w:r w:rsidR="000A59B3">
        <w:t>those</w:t>
      </w:r>
      <w:r w:rsidR="007C4E13">
        <w:t xml:space="preserve"> case</w:t>
      </w:r>
      <w:r w:rsidR="000A59B3">
        <w:t>s</w:t>
      </w:r>
      <w:r>
        <w:t xml:space="preserve"> </w:t>
      </w:r>
      <w:r w:rsidR="001919F0">
        <w:t xml:space="preserve">that </w:t>
      </w:r>
      <w:r w:rsidR="000A59B3">
        <w:t xml:space="preserve">do </w:t>
      </w:r>
      <w:r w:rsidR="001919F0">
        <w:t>present</w:t>
      </w:r>
      <w:r w:rsidR="00471662">
        <w:t xml:space="preserve"> with</w:t>
      </w:r>
      <w:r>
        <w:t xml:space="preserve"> multiple witnesses </w:t>
      </w:r>
      <w:r w:rsidR="003C3210">
        <w:t>the Crown</w:t>
      </w:r>
      <w:r>
        <w:t xml:space="preserve"> may </w:t>
      </w:r>
      <w:r w:rsidR="007C4E13">
        <w:t>need to</w:t>
      </w:r>
      <w:r>
        <w:t xml:space="preserve"> </w:t>
      </w:r>
      <w:r w:rsidR="003C3210">
        <w:t>consider</w:t>
      </w:r>
      <w:r>
        <w:t xml:space="preserve"> two differing scenarios</w:t>
      </w:r>
      <w:r w:rsidR="003C3210">
        <w:t xml:space="preserve"> when making applications</w:t>
      </w:r>
      <w:r>
        <w:t xml:space="preserve"> – the witnesses may be a family or other group that wish to stay together for mutual support</w:t>
      </w:r>
      <w:r w:rsidR="003C3210">
        <w:t xml:space="preserve"> </w:t>
      </w:r>
      <w:r w:rsidR="003C3210" w:rsidRPr="003C3210">
        <w:rPr>
          <w:i/>
        </w:rPr>
        <w:t>(in which case they can be scheduled on the same day)</w:t>
      </w:r>
      <w:r>
        <w:t xml:space="preserve">, or there </w:t>
      </w:r>
      <w:r w:rsidR="007C4E13">
        <w:t>may be a need to keep</w:t>
      </w:r>
      <w:r>
        <w:t xml:space="preserve"> those witnesses apart</w:t>
      </w:r>
      <w:r w:rsidR="003C3210">
        <w:t xml:space="preserve"> </w:t>
      </w:r>
      <w:r w:rsidR="009022E1">
        <w:t xml:space="preserve">for security reasons </w:t>
      </w:r>
      <w:r w:rsidR="003C3210" w:rsidRPr="003C3210">
        <w:rPr>
          <w:i/>
        </w:rPr>
        <w:t xml:space="preserve">(in </w:t>
      </w:r>
      <w:r w:rsidR="003C3210">
        <w:rPr>
          <w:i/>
        </w:rPr>
        <w:t>which case</w:t>
      </w:r>
      <w:r w:rsidR="003C3210" w:rsidRPr="003C3210">
        <w:rPr>
          <w:i/>
        </w:rPr>
        <w:t xml:space="preserve"> they </w:t>
      </w:r>
      <w:r w:rsidR="009022E1">
        <w:rPr>
          <w:i/>
        </w:rPr>
        <w:t>may</w:t>
      </w:r>
      <w:r w:rsidR="003C3210" w:rsidRPr="003C3210">
        <w:rPr>
          <w:i/>
        </w:rPr>
        <w:t xml:space="preserve"> </w:t>
      </w:r>
      <w:r w:rsidR="003C3210">
        <w:rPr>
          <w:i/>
        </w:rPr>
        <w:t xml:space="preserve">need to </w:t>
      </w:r>
      <w:r w:rsidR="003C3210" w:rsidRPr="003C3210">
        <w:rPr>
          <w:i/>
        </w:rPr>
        <w:t>be scheduled on different days)</w:t>
      </w:r>
      <w:r w:rsidRPr="003C3210">
        <w:rPr>
          <w:i/>
        </w:rPr>
        <w:t>.</w:t>
      </w:r>
      <w:r>
        <w:t xml:space="preserve">  </w:t>
      </w:r>
    </w:p>
    <w:p w:rsidR="003C3210" w:rsidRDefault="003C3210" w:rsidP="00D31DA4">
      <w:pPr>
        <w:pStyle w:val="NoSpacing"/>
      </w:pPr>
    </w:p>
    <w:p w:rsidR="00D31DA4" w:rsidRDefault="00D31DA4" w:rsidP="00D31DA4">
      <w:pPr>
        <w:pStyle w:val="NoSpacing"/>
      </w:pPr>
      <w:r>
        <w:t xml:space="preserve">In </w:t>
      </w:r>
      <w:r w:rsidR="007C4E13">
        <w:t>this</w:t>
      </w:r>
      <w:r>
        <w:t xml:space="preserve"> sample</w:t>
      </w:r>
      <w:r w:rsidR="007C4E13">
        <w:t xml:space="preserve"> period all 7 cases with multiple witnesses </w:t>
      </w:r>
      <w:r w:rsidR="000A59B3">
        <w:t>f</w:t>
      </w:r>
      <w:r w:rsidR="003C3210">
        <w:t>e</w:t>
      </w:r>
      <w:r w:rsidR="000A59B3">
        <w:t xml:space="preserve">ll in that first group and </w:t>
      </w:r>
      <w:r w:rsidR="007C4E13">
        <w:t xml:space="preserve">were </w:t>
      </w:r>
      <w:r w:rsidR="001919F0">
        <w:t>scheduled</w:t>
      </w:r>
      <w:r w:rsidR="007C4E13">
        <w:t xml:space="preserve"> on the same day</w:t>
      </w:r>
      <w:r w:rsidR="00230876">
        <w:t xml:space="preserve"> (enab</w:t>
      </w:r>
      <w:r w:rsidR="000A59B3">
        <w:t xml:space="preserve">ling court time to be used </w:t>
      </w:r>
      <w:r w:rsidR="00230876">
        <w:t>effectively)</w:t>
      </w:r>
      <w:r w:rsidR="007C4E13">
        <w:t>.</w:t>
      </w:r>
    </w:p>
    <w:p w:rsidR="0007206D" w:rsidRDefault="0007206D" w:rsidP="00D7229A">
      <w:pPr>
        <w:pStyle w:val="NoSpacing"/>
      </w:pPr>
    </w:p>
    <w:p w:rsidR="0007206D" w:rsidRDefault="0007206D" w:rsidP="00D7229A">
      <w:pPr>
        <w:pStyle w:val="NoSpacing"/>
      </w:pPr>
    </w:p>
    <w:p w:rsidR="006459B4" w:rsidRPr="006459B4" w:rsidRDefault="003C14C7" w:rsidP="00D7229A">
      <w:pPr>
        <w:pStyle w:val="NoSpacing"/>
        <w:rPr>
          <w:u w:val="single"/>
        </w:rPr>
      </w:pPr>
      <w:r>
        <w:rPr>
          <w:u w:val="single"/>
        </w:rPr>
        <w:t xml:space="preserve">Incidence of - </w:t>
      </w:r>
      <w:r w:rsidR="006459B4" w:rsidRPr="006459B4">
        <w:rPr>
          <w:u w:val="single"/>
        </w:rPr>
        <w:t>Multi</w:t>
      </w:r>
      <w:r>
        <w:rPr>
          <w:u w:val="single"/>
        </w:rPr>
        <w:t>ple accused per case</w:t>
      </w:r>
    </w:p>
    <w:p w:rsidR="00D21780" w:rsidRDefault="00D21780" w:rsidP="00D7229A">
      <w:pPr>
        <w:pStyle w:val="NoSpacing"/>
      </w:pPr>
    </w:p>
    <w:p w:rsidR="003C14C7" w:rsidRDefault="00471662" w:rsidP="00D7229A">
      <w:pPr>
        <w:pStyle w:val="NoSpacing"/>
      </w:pPr>
      <w:r>
        <w:t xml:space="preserve">In this sample period there were 2 </w:t>
      </w:r>
      <w:r w:rsidR="001F622E">
        <w:t>applications</w:t>
      </w:r>
      <w:r>
        <w:t xml:space="preserve"> </w:t>
      </w:r>
      <w:r w:rsidR="00410980">
        <w:t xml:space="preserve">(out of 33) </w:t>
      </w:r>
      <w:r>
        <w:t xml:space="preserve">that </w:t>
      </w:r>
      <w:r w:rsidR="00220A02">
        <w:t>had</w:t>
      </w:r>
      <w:r w:rsidR="00F755B5">
        <w:t xml:space="preserve"> multiple accused</w:t>
      </w:r>
      <w:r w:rsidR="005D6644">
        <w:t>:</w:t>
      </w:r>
    </w:p>
    <w:tbl>
      <w:tblPr>
        <w:tblStyle w:val="TableGrid"/>
        <w:tblW w:w="0" w:type="auto"/>
        <w:tblLook w:val="04A0" w:firstRow="1" w:lastRow="0" w:firstColumn="1" w:lastColumn="0" w:noHBand="0" w:noVBand="1"/>
      </w:tblPr>
      <w:tblGrid>
        <w:gridCol w:w="4503"/>
        <w:gridCol w:w="1275"/>
        <w:gridCol w:w="1276"/>
      </w:tblGrid>
      <w:tr w:rsidR="003C14C7" w:rsidRPr="006A7BFA" w:rsidTr="005D6644">
        <w:tc>
          <w:tcPr>
            <w:tcW w:w="4503" w:type="dxa"/>
            <w:shd w:val="clear" w:color="auto" w:fill="365F91" w:themeFill="accent1" w:themeFillShade="BF"/>
          </w:tcPr>
          <w:p w:rsidR="003C14C7" w:rsidRPr="006A7BFA" w:rsidRDefault="003C14C7" w:rsidP="005D6644">
            <w:pPr>
              <w:pStyle w:val="NoSpacing"/>
              <w:rPr>
                <w:color w:val="FFFFFF" w:themeColor="background1"/>
                <w:sz w:val="20"/>
                <w:szCs w:val="20"/>
              </w:rPr>
            </w:pPr>
            <w:r w:rsidRPr="006A7BFA">
              <w:rPr>
                <w:color w:val="FFFFFF" w:themeColor="background1"/>
                <w:sz w:val="20"/>
                <w:szCs w:val="20"/>
              </w:rPr>
              <w:t xml:space="preserve">The Pattern of Applications </w:t>
            </w:r>
          </w:p>
        </w:tc>
        <w:tc>
          <w:tcPr>
            <w:tcW w:w="1275" w:type="dxa"/>
            <w:shd w:val="clear" w:color="auto" w:fill="365F91" w:themeFill="accent1" w:themeFillShade="BF"/>
          </w:tcPr>
          <w:p w:rsidR="003C14C7" w:rsidRPr="006A7BFA" w:rsidRDefault="003C14C7" w:rsidP="005D6644">
            <w:pPr>
              <w:pStyle w:val="NoSpacing"/>
              <w:jc w:val="center"/>
              <w:rPr>
                <w:color w:val="FFFFFF" w:themeColor="background1"/>
                <w:sz w:val="20"/>
                <w:szCs w:val="20"/>
              </w:rPr>
            </w:pPr>
            <w:r w:rsidRPr="006A7BFA">
              <w:rPr>
                <w:color w:val="FFFFFF" w:themeColor="background1"/>
                <w:sz w:val="20"/>
                <w:szCs w:val="20"/>
              </w:rPr>
              <w:t>Case</w:t>
            </w:r>
          </w:p>
          <w:p w:rsidR="003C14C7" w:rsidRPr="006A7BFA" w:rsidRDefault="003C14C7" w:rsidP="005D6644">
            <w:pPr>
              <w:pStyle w:val="NoSpacing"/>
              <w:jc w:val="center"/>
              <w:rPr>
                <w:color w:val="FFFFFF" w:themeColor="background1"/>
                <w:sz w:val="20"/>
                <w:szCs w:val="20"/>
              </w:rPr>
            </w:pPr>
            <w:r w:rsidRPr="006A7BFA">
              <w:rPr>
                <w:color w:val="FFFFFF" w:themeColor="background1"/>
                <w:sz w:val="20"/>
                <w:szCs w:val="20"/>
              </w:rPr>
              <w:t>Count</w:t>
            </w:r>
          </w:p>
        </w:tc>
        <w:tc>
          <w:tcPr>
            <w:tcW w:w="1276" w:type="dxa"/>
            <w:shd w:val="clear" w:color="auto" w:fill="365F91" w:themeFill="accent1" w:themeFillShade="BF"/>
          </w:tcPr>
          <w:p w:rsidR="003C14C7" w:rsidRPr="006A7BFA" w:rsidRDefault="003C14C7" w:rsidP="005D6644">
            <w:pPr>
              <w:pStyle w:val="NoSpacing"/>
              <w:jc w:val="center"/>
              <w:rPr>
                <w:i/>
                <w:color w:val="FFFFFF" w:themeColor="background1"/>
                <w:sz w:val="20"/>
                <w:szCs w:val="20"/>
              </w:rPr>
            </w:pPr>
            <w:r w:rsidRPr="006A7BFA">
              <w:rPr>
                <w:i/>
                <w:color w:val="FFFFFF" w:themeColor="background1"/>
                <w:sz w:val="20"/>
                <w:szCs w:val="20"/>
              </w:rPr>
              <w:t>%</w:t>
            </w:r>
          </w:p>
          <w:p w:rsidR="003C14C7" w:rsidRPr="006A7BFA" w:rsidRDefault="003C14C7" w:rsidP="005D6644">
            <w:pPr>
              <w:pStyle w:val="NoSpacing"/>
              <w:jc w:val="center"/>
              <w:rPr>
                <w:i/>
                <w:color w:val="FFFFFF" w:themeColor="background1"/>
                <w:sz w:val="20"/>
                <w:szCs w:val="20"/>
              </w:rPr>
            </w:pPr>
            <w:r w:rsidRPr="006A7BFA">
              <w:rPr>
                <w:i/>
                <w:color w:val="FFFFFF" w:themeColor="background1"/>
                <w:sz w:val="20"/>
                <w:szCs w:val="20"/>
              </w:rPr>
              <w:t>Mix</w:t>
            </w:r>
          </w:p>
        </w:tc>
      </w:tr>
      <w:tr w:rsidR="003C14C7" w:rsidRPr="006A7BFA" w:rsidTr="005D6644">
        <w:tc>
          <w:tcPr>
            <w:tcW w:w="4503" w:type="dxa"/>
          </w:tcPr>
          <w:p w:rsidR="003C14C7" w:rsidRPr="006A7BFA" w:rsidRDefault="003C14C7" w:rsidP="005D6644">
            <w:pPr>
              <w:pStyle w:val="NoSpacing"/>
              <w:rPr>
                <w:sz w:val="20"/>
                <w:szCs w:val="20"/>
              </w:rPr>
            </w:pPr>
            <w:r w:rsidRPr="006A7BFA">
              <w:rPr>
                <w:sz w:val="20"/>
                <w:szCs w:val="20"/>
              </w:rPr>
              <w:t xml:space="preserve">Applications </w:t>
            </w:r>
            <w:r w:rsidR="0007206D">
              <w:rPr>
                <w:sz w:val="20"/>
                <w:szCs w:val="20"/>
              </w:rPr>
              <w:t xml:space="preserve">– in </w:t>
            </w:r>
            <w:r w:rsidRPr="006A7BFA">
              <w:rPr>
                <w:sz w:val="20"/>
                <w:szCs w:val="20"/>
              </w:rPr>
              <w:t>case</w:t>
            </w:r>
            <w:r w:rsidR="0007206D">
              <w:rPr>
                <w:sz w:val="20"/>
                <w:szCs w:val="20"/>
              </w:rPr>
              <w:t>s with 1 accused</w:t>
            </w:r>
          </w:p>
        </w:tc>
        <w:tc>
          <w:tcPr>
            <w:tcW w:w="1275" w:type="dxa"/>
          </w:tcPr>
          <w:p w:rsidR="003C14C7" w:rsidRPr="006A7BFA" w:rsidRDefault="0007206D" w:rsidP="005D6644">
            <w:pPr>
              <w:pStyle w:val="NoSpacing"/>
              <w:jc w:val="center"/>
              <w:rPr>
                <w:sz w:val="20"/>
                <w:szCs w:val="20"/>
              </w:rPr>
            </w:pPr>
            <w:r>
              <w:rPr>
                <w:sz w:val="20"/>
                <w:szCs w:val="20"/>
              </w:rPr>
              <w:t>31</w:t>
            </w:r>
          </w:p>
        </w:tc>
        <w:tc>
          <w:tcPr>
            <w:tcW w:w="1276" w:type="dxa"/>
          </w:tcPr>
          <w:p w:rsidR="003C14C7" w:rsidRPr="006A7BFA" w:rsidRDefault="0007206D" w:rsidP="005D6644">
            <w:pPr>
              <w:pStyle w:val="NoSpacing"/>
              <w:jc w:val="center"/>
              <w:rPr>
                <w:i/>
                <w:sz w:val="20"/>
                <w:szCs w:val="20"/>
              </w:rPr>
            </w:pPr>
            <w:r>
              <w:rPr>
                <w:i/>
                <w:sz w:val="20"/>
                <w:szCs w:val="20"/>
              </w:rPr>
              <w:t>9</w:t>
            </w:r>
            <w:r w:rsidR="003C14C7">
              <w:rPr>
                <w:i/>
                <w:sz w:val="20"/>
                <w:szCs w:val="20"/>
              </w:rPr>
              <w:t>2</w:t>
            </w:r>
            <w:r w:rsidR="003C14C7" w:rsidRPr="006A7BFA">
              <w:rPr>
                <w:i/>
                <w:sz w:val="20"/>
                <w:szCs w:val="20"/>
              </w:rPr>
              <w:t>%</w:t>
            </w:r>
          </w:p>
        </w:tc>
      </w:tr>
      <w:tr w:rsidR="003C14C7" w:rsidRPr="006A7BFA" w:rsidTr="005D6644">
        <w:tc>
          <w:tcPr>
            <w:tcW w:w="4503" w:type="dxa"/>
          </w:tcPr>
          <w:p w:rsidR="003C14C7" w:rsidRPr="006A7BFA" w:rsidRDefault="003C14C7" w:rsidP="0007206D">
            <w:pPr>
              <w:pStyle w:val="NoSpacing"/>
              <w:rPr>
                <w:sz w:val="20"/>
                <w:szCs w:val="20"/>
              </w:rPr>
            </w:pPr>
            <w:r w:rsidRPr="006A7BFA">
              <w:rPr>
                <w:sz w:val="20"/>
                <w:szCs w:val="20"/>
              </w:rPr>
              <w:t xml:space="preserve">Applications - </w:t>
            </w:r>
            <w:r w:rsidR="0007206D">
              <w:rPr>
                <w:sz w:val="20"/>
                <w:szCs w:val="20"/>
              </w:rPr>
              <w:t xml:space="preserve">in </w:t>
            </w:r>
            <w:r w:rsidR="0007206D" w:rsidRPr="006A7BFA">
              <w:rPr>
                <w:sz w:val="20"/>
                <w:szCs w:val="20"/>
              </w:rPr>
              <w:t>case</w:t>
            </w:r>
            <w:r w:rsidR="0007206D">
              <w:rPr>
                <w:sz w:val="20"/>
                <w:szCs w:val="20"/>
              </w:rPr>
              <w:t>s with 2 accused</w:t>
            </w:r>
          </w:p>
        </w:tc>
        <w:tc>
          <w:tcPr>
            <w:tcW w:w="1275" w:type="dxa"/>
          </w:tcPr>
          <w:p w:rsidR="003C14C7" w:rsidRPr="006A7BFA" w:rsidRDefault="0007206D" w:rsidP="005D6644">
            <w:pPr>
              <w:pStyle w:val="NoSpacing"/>
              <w:jc w:val="center"/>
              <w:rPr>
                <w:sz w:val="20"/>
                <w:szCs w:val="20"/>
              </w:rPr>
            </w:pPr>
            <w:r>
              <w:rPr>
                <w:sz w:val="20"/>
                <w:szCs w:val="20"/>
              </w:rPr>
              <w:t>1</w:t>
            </w:r>
          </w:p>
        </w:tc>
        <w:tc>
          <w:tcPr>
            <w:tcW w:w="1276" w:type="dxa"/>
          </w:tcPr>
          <w:p w:rsidR="003C14C7" w:rsidRPr="006A7BFA" w:rsidRDefault="0007206D" w:rsidP="005D6644">
            <w:pPr>
              <w:pStyle w:val="NoSpacing"/>
              <w:jc w:val="center"/>
              <w:rPr>
                <w:i/>
                <w:sz w:val="20"/>
                <w:szCs w:val="20"/>
              </w:rPr>
            </w:pPr>
            <w:r>
              <w:rPr>
                <w:i/>
                <w:sz w:val="20"/>
                <w:szCs w:val="20"/>
              </w:rPr>
              <w:t>3</w:t>
            </w:r>
            <w:r w:rsidR="003C14C7" w:rsidRPr="006A7BFA">
              <w:rPr>
                <w:i/>
                <w:sz w:val="20"/>
                <w:szCs w:val="20"/>
              </w:rPr>
              <w:t>%</w:t>
            </w:r>
          </w:p>
        </w:tc>
      </w:tr>
      <w:tr w:rsidR="003C14C7" w:rsidRPr="006A7BFA" w:rsidTr="005D6644">
        <w:tc>
          <w:tcPr>
            <w:tcW w:w="4503" w:type="dxa"/>
          </w:tcPr>
          <w:p w:rsidR="003C14C7" w:rsidRPr="006A7BFA" w:rsidRDefault="003C14C7" w:rsidP="0007206D">
            <w:pPr>
              <w:pStyle w:val="NoSpacing"/>
              <w:rPr>
                <w:sz w:val="20"/>
                <w:szCs w:val="20"/>
              </w:rPr>
            </w:pPr>
            <w:r w:rsidRPr="006A7BFA">
              <w:rPr>
                <w:sz w:val="20"/>
                <w:szCs w:val="20"/>
              </w:rPr>
              <w:t xml:space="preserve">Applications - </w:t>
            </w:r>
            <w:r w:rsidR="0007206D">
              <w:rPr>
                <w:sz w:val="20"/>
                <w:szCs w:val="20"/>
              </w:rPr>
              <w:t xml:space="preserve">in </w:t>
            </w:r>
            <w:r w:rsidR="0007206D" w:rsidRPr="006A7BFA">
              <w:rPr>
                <w:sz w:val="20"/>
                <w:szCs w:val="20"/>
              </w:rPr>
              <w:t>case</w:t>
            </w:r>
            <w:r w:rsidR="0007206D">
              <w:rPr>
                <w:sz w:val="20"/>
                <w:szCs w:val="20"/>
              </w:rPr>
              <w:t>s with 3 accused</w:t>
            </w:r>
          </w:p>
        </w:tc>
        <w:tc>
          <w:tcPr>
            <w:tcW w:w="1275" w:type="dxa"/>
          </w:tcPr>
          <w:p w:rsidR="003C14C7" w:rsidRPr="006A7BFA" w:rsidRDefault="003C14C7" w:rsidP="005D6644">
            <w:pPr>
              <w:pStyle w:val="NoSpacing"/>
              <w:jc w:val="center"/>
              <w:rPr>
                <w:sz w:val="20"/>
                <w:szCs w:val="20"/>
              </w:rPr>
            </w:pPr>
            <w:r>
              <w:rPr>
                <w:sz w:val="20"/>
                <w:szCs w:val="20"/>
              </w:rPr>
              <w:t>1</w:t>
            </w:r>
          </w:p>
        </w:tc>
        <w:tc>
          <w:tcPr>
            <w:tcW w:w="1276" w:type="dxa"/>
          </w:tcPr>
          <w:p w:rsidR="003C14C7" w:rsidRPr="006A7BFA" w:rsidRDefault="0007206D" w:rsidP="005D6644">
            <w:pPr>
              <w:pStyle w:val="NoSpacing"/>
              <w:jc w:val="center"/>
              <w:rPr>
                <w:i/>
                <w:sz w:val="20"/>
                <w:szCs w:val="20"/>
              </w:rPr>
            </w:pPr>
            <w:r>
              <w:rPr>
                <w:i/>
                <w:sz w:val="20"/>
                <w:szCs w:val="20"/>
              </w:rPr>
              <w:t>3</w:t>
            </w:r>
            <w:r w:rsidR="003C14C7">
              <w:rPr>
                <w:i/>
                <w:sz w:val="20"/>
                <w:szCs w:val="20"/>
              </w:rPr>
              <w:t>%</w:t>
            </w:r>
          </w:p>
        </w:tc>
      </w:tr>
      <w:tr w:rsidR="003C14C7" w:rsidRPr="006A7BFA" w:rsidTr="005D6644">
        <w:tc>
          <w:tcPr>
            <w:tcW w:w="4503" w:type="dxa"/>
          </w:tcPr>
          <w:p w:rsidR="003C14C7" w:rsidRPr="006A7BFA" w:rsidRDefault="003C14C7" w:rsidP="005D6644">
            <w:pPr>
              <w:pStyle w:val="NoSpacing"/>
              <w:rPr>
                <w:sz w:val="20"/>
                <w:szCs w:val="20"/>
              </w:rPr>
            </w:pPr>
          </w:p>
        </w:tc>
        <w:tc>
          <w:tcPr>
            <w:tcW w:w="1275" w:type="dxa"/>
          </w:tcPr>
          <w:p w:rsidR="003C14C7" w:rsidRPr="006A7BFA" w:rsidRDefault="0007206D" w:rsidP="005D6644">
            <w:pPr>
              <w:pStyle w:val="NoSpacing"/>
              <w:jc w:val="center"/>
              <w:rPr>
                <w:sz w:val="20"/>
                <w:szCs w:val="20"/>
              </w:rPr>
            </w:pPr>
            <w:r>
              <w:rPr>
                <w:sz w:val="20"/>
                <w:szCs w:val="20"/>
              </w:rPr>
              <w:t>33</w:t>
            </w:r>
          </w:p>
        </w:tc>
        <w:tc>
          <w:tcPr>
            <w:tcW w:w="1276" w:type="dxa"/>
          </w:tcPr>
          <w:p w:rsidR="003C14C7" w:rsidRPr="006A7BFA" w:rsidRDefault="003C14C7" w:rsidP="005D6644">
            <w:pPr>
              <w:pStyle w:val="NoSpacing"/>
              <w:jc w:val="center"/>
              <w:rPr>
                <w:i/>
                <w:sz w:val="20"/>
                <w:szCs w:val="20"/>
              </w:rPr>
            </w:pPr>
            <w:r w:rsidRPr="006A7BFA">
              <w:rPr>
                <w:i/>
                <w:sz w:val="20"/>
                <w:szCs w:val="20"/>
              </w:rPr>
              <w:t>100%</w:t>
            </w:r>
          </w:p>
        </w:tc>
      </w:tr>
    </w:tbl>
    <w:p w:rsidR="003C14C7" w:rsidRDefault="003C14C7" w:rsidP="003C14C7">
      <w:pPr>
        <w:pStyle w:val="NoSpacing"/>
      </w:pPr>
    </w:p>
    <w:p w:rsidR="00220A02" w:rsidRDefault="00CE4BE4" w:rsidP="001B7852">
      <w:pPr>
        <w:pStyle w:val="NoSpacing"/>
      </w:pPr>
      <w:r>
        <w:t xml:space="preserve">Whilst the incidence of multi accused </w:t>
      </w:r>
      <w:r w:rsidR="00F755B5">
        <w:t>cases</w:t>
      </w:r>
      <w:r>
        <w:t xml:space="preserve"> is </w:t>
      </w:r>
      <w:r w:rsidR="003C3210">
        <w:t xml:space="preserve">very </w:t>
      </w:r>
      <w:r>
        <w:t xml:space="preserve">low they </w:t>
      </w:r>
      <w:r w:rsidR="00381214">
        <w:t>can</w:t>
      </w:r>
      <w:r>
        <w:t xml:space="preserve"> </w:t>
      </w:r>
      <w:r w:rsidR="001B7852">
        <w:t>have</w:t>
      </w:r>
      <w:r>
        <w:t xml:space="preserve"> op</w:t>
      </w:r>
      <w:r w:rsidR="001B7852">
        <w:t>erational impacts that the court would generally</w:t>
      </w:r>
      <w:r w:rsidR="00972F6F">
        <w:t xml:space="preserve"> </w:t>
      </w:r>
      <w:r w:rsidR="002F0870">
        <w:t>consider</w:t>
      </w:r>
      <w:r w:rsidR="001B7852">
        <w:t xml:space="preserve"> </w:t>
      </w:r>
      <w:r w:rsidR="00220A02">
        <w:t>at the preliminary hearing:</w:t>
      </w:r>
    </w:p>
    <w:p w:rsidR="00220A02" w:rsidRDefault="00220A02" w:rsidP="001B7852">
      <w:pPr>
        <w:pStyle w:val="NoSpacing"/>
      </w:pPr>
    </w:p>
    <w:p w:rsidR="00CE4BE4" w:rsidRDefault="00220A02" w:rsidP="00220A02">
      <w:pPr>
        <w:pStyle w:val="NoSpacing"/>
        <w:ind w:left="720"/>
      </w:pPr>
      <w:r w:rsidRPr="00220A02">
        <w:rPr>
          <w:i/>
        </w:rPr>
        <w:t>Multiple Lawyers</w:t>
      </w:r>
      <w:r w:rsidRPr="00220A02">
        <w:t xml:space="preserve"> </w:t>
      </w:r>
      <w:r>
        <w:t xml:space="preserve">- </w:t>
      </w:r>
      <w:r w:rsidR="00381214">
        <w:t>if multiple</w:t>
      </w:r>
      <w:r w:rsidR="00410980">
        <w:t xml:space="preserve"> additional lawyers</w:t>
      </w:r>
      <w:r w:rsidR="00CE4BE4">
        <w:t xml:space="preserve"> </w:t>
      </w:r>
      <w:r>
        <w:t xml:space="preserve">do </w:t>
      </w:r>
      <w:r w:rsidR="00CE4BE4">
        <w:t xml:space="preserve">need to be present </w:t>
      </w:r>
      <w:r>
        <w:t xml:space="preserve">then </w:t>
      </w:r>
      <w:r w:rsidR="001B7852">
        <w:t xml:space="preserve">a small </w:t>
      </w:r>
      <w:r>
        <w:t xml:space="preserve">hearing </w:t>
      </w:r>
      <w:r w:rsidR="001B7852">
        <w:t>venue</w:t>
      </w:r>
      <w:r w:rsidR="00CE4BE4">
        <w:t xml:space="preserve"> ca</w:t>
      </w:r>
      <w:r w:rsidR="00327B3C">
        <w:t>n quickly become overcrowded which inevitably</w:t>
      </w:r>
      <w:r w:rsidR="00CE4BE4">
        <w:t xml:space="preserve"> add</w:t>
      </w:r>
      <w:r w:rsidR="00327B3C">
        <w:t>s</w:t>
      </w:r>
      <w:r w:rsidR="00CE4BE4">
        <w:t xml:space="preserve"> to the </w:t>
      </w:r>
      <w:r w:rsidR="009022E1">
        <w:t xml:space="preserve">potential </w:t>
      </w:r>
      <w:r w:rsidR="00CE4BE4">
        <w:t xml:space="preserve">trauma for </w:t>
      </w:r>
      <w:r w:rsidR="003A70BD">
        <w:t>a</w:t>
      </w:r>
      <w:r w:rsidR="00CE4BE4">
        <w:t xml:space="preserve"> witness</w:t>
      </w:r>
      <w:r w:rsidR="001B7852">
        <w:t xml:space="preserve">. The court </w:t>
      </w:r>
      <w:r w:rsidR="003F41CB">
        <w:t xml:space="preserve">may need to consider </w:t>
      </w:r>
      <w:r w:rsidR="00A47FED">
        <w:t xml:space="preserve">whether redirecting such cases to </w:t>
      </w:r>
      <w:r w:rsidR="001B7852">
        <w:t>a larger</w:t>
      </w:r>
      <w:r w:rsidR="00A47FED">
        <w:t xml:space="preserve"> venue is </w:t>
      </w:r>
      <w:r>
        <w:t xml:space="preserve">a </w:t>
      </w:r>
      <w:r w:rsidR="00A47FED">
        <w:t>practical</w:t>
      </w:r>
      <w:r>
        <w:t xml:space="preserve"> response to that overcrowding</w:t>
      </w:r>
      <w:r w:rsidR="00381214">
        <w:t xml:space="preserve">, or whether the needs of those multiple legal representatives </w:t>
      </w:r>
      <w:r w:rsidR="009F7C7A">
        <w:t>can</w:t>
      </w:r>
      <w:r w:rsidR="00381214">
        <w:t xml:space="preserve"> be met in other ways</w:t>
      </w:r>
      <w:r w:rsidR="009F7C7A">
        <w:t>.</w:t>
      </w:r>
    </w:p>
    <w:p w:rsidR="00381214" w:rsidRDefault="00381214" w:rsidP="00220A02">
      <w:pPr>
        <w:pStyle w:val="NoSpacing"/>
        <w:ind w:left="720"/>
      </w:pPr>
    </w:p>
    <w:p w:rsidR="00220A02" w:rsidRDefault="00220A02" w:rsidP="00220A02">
      <w:pPr>
        <w:pStyle w:val="NoSpacing"/>
        <w:ind w:left="720"/>
      </w:pPr>
      <w:r w:rsidRPr="00220A02">
        <w:rPr>
          <w:i/>
        </w:rPr>
        <w:t>Separation of the Accused</w:t>
      </w:r>
      <w:r>
        <w:t xml:space="preserve"> - </w:t>
      </w:r>
      <w:r w:rsidR="003F41CB">
        <w:t>An accused person will normally view</w:t>
      </w:r>
      <w:r w:rsidR="00EE1357">
        <w:t xml:space="preserve"> a</w:t>
      </w:r>
      <w:r w:rsidR="003F41CB">
        <w:t xml:space="preserve"> commission hearing via live TV link</w:t>
      </w:r>
      <w:r w:rsidR="003A70BD">
        <w:t xml:space="preserve">, and </w:t>
      </w:r>
      <w:r w:rsidR="00381214">
        <w:t>standard</w:t>
      </w:r>
      <w:r w:rsidR="00410980">
        <w:t xml:space="preserve"> </w:t>
      </w:r>
      <w:r>
        <w:t xml:space="preserve">operating </w:t>
      </w:r>
      <w:r w:rsidR="00410980">
        <w:t>practice is for</w:t>
      </w:r>
      <w:r w:rsidR="003A70BD">
        <w:t xml:space="preserve"> </w:t>
      </w:r>
      <w:r w:rsidR="003F41CB">
        <w:t xml:space="preserve">multiple </w:t>
      </w:r>
      <w:r w:rsidR="001B1EF7">
        <w:t xml:space="preserve">accused </w:t>
      </w:r>
      <w:r w:rsidR="00410980">
        <w:t>to be</w:t>
      </w:r>
      <w:r w:rsidR="003A70BD">
        <w:t xml:space="preserve"> taken </w:t>
      </w:r>
      <w:r w:rsidR="001B1EF7">
        <w:t xml:space="preserve">to </w:t>
      </w:r>
      <w:r w:rsidR="00410980">
        <w:t xml:space="preserve">the </w:t>
      </w:r>
      <w:r w:rsidR="001B1EF7">
        <w:t xml:space="preserve">one suitable </w:t>
      </w:r>
      <w:r w:rsidR="00381214">
        <w:t xml:space="preserve">court </w:t>
      </w:r>
      <w:r w:rsidR="001B1EF7">
        <w:t>location to</w:t>
      </w:r>
      <w:r w:rsidR="003F41CB">
        <w:t xml:space="preserve"> view the same video feed</w:t>
      </w:r>
      <w:r w:rsidR="00327B3C">
        <w:rPr>
          <w:rStyle w:val="FootnoteReference"/>
        </w:rPr>
        <w:footnoteReference w:id="3"/>
      </w:r>
      <w:r w:rsidR="001B1EF7">
        <w:t xml:space="preserve">. </w:t>
      </w:r>
      <w:r>
        <w:t xml:space="preserve"> S</w:t>
      </w:r>
      <w:r w:rsidR="001B1EF7">
        <w:t xml:space="preserve">ecurity reasons </w:t>
      </w:r>
      <w:r>
        <w:t xml:space="preserve">may </w:t>
      </w:r>
      <w:r w:rsidR="001B1EF7">
        <w:t xml:space="preserve">dictate </w:t>
      </w:r>
      <w:r w:rsidR="000276A4">
        <w:t>a</w:t>
      </w:r>
      <w:r w:rsidR="001B1EF7">
        <w:t xml:space="preserve"> need </w:t>
      </w:r>
      <w:r w:rsidR="00381214">
        <w:t>for separation</w:t>
      </w:r>
      <w:r w:rsidR="001B1EF7">
        <w:t xml:space="preserve"> of t</w:t>
      </w:r>
      <w:r w:rsidR="00381214">
        <w:t>he accused</w:t>
      </w:r>
      <w:r w:rsidR="006F1DC7">
        <w:t xml:space="preserve"> </w:t>
      </w:r>
      <w:r w:rsidR="00972F6F">
        <w:t>in some</w:t>
      </w:r>
      <w:r>
        <w:t xml:space="preserve"> cases </w:t>
      </w:r>
      <w:r w:rsidR="00972F6F">
        <w:t xml:space="preserve">and where that risk is identified then </w:t>
      </w:r>
      <w:r>
        <w:t xml:space="preserve">additional </w:t>
      </w:r>
      <w:r w:rsidR="006F1DC7">
        <w:t xml:space="preserve">security </w:t>
      </w:r>
      <w:r>
        <w:t xml:space="preserve">guards </w:t>
      </w:r>
      <w:r w:rsidR="009022E1">
        <w:t>will need to be</w:t>
      </w:r>
      <w:r>
        <w:t xml:space="preserve"> provided to maintain </w:t>
      </w:r>
      <w:r w:rsidR="006F1DC7">
        <w:t xml:space="preserve">safety and </w:t>
      </w:r>
      <w:r w:rsidR="00327B3C">
        <w:t>security.</w:t>
      </w:r>
    </w:p>
    <w:p w:rsidR="00677EB9" w:rsidRDefault="00677EB9" w:rsidP="00677EB9">
      <w:pPr>
        <w:pStyle w:val="NoSpacing"/>
      </w:pPr>
    </w:p>
    <w:p w:rsidR="006F1DC7" w:rsidRDefault="006F1DC7" w:rsidP="00677EB9">
      <w:pPr>
        <w:pStyle w:val="NoSpacing"/>
      </w:pPr>
    </w:p>
    <w:p w:rsidR="000276A4" w:rsidRPr="001F622E" w:rsidRDefault="00E05686" w:rsidP="00677EB9">
      <w:pPr>
        <w:pStyle w:val="NoSpacing"/>
        <w:rPr>
          <w:u w:val="single"/>
        </w:rPr>
      </w:pPr>
      <w:r>
        <w:rPr>
          <w:u w:val="single"/>
        </w:rPr>
        <w:t>Mode of Appearance – for the accused</w:t>
      </w:r>
    </w:p>
    <w:p w:rsidR="006F1DC7" w:rsidRDefault="006F1DC7" w:rsidP="000276A4">
      <w:pPr>
        <w:pStyle w:val="NoSpacing"/>
      </w:pPr>
    </w:p>
    <w:p w:rsidR="00420FA4" w:rsidRDefault="006F1DC7" w:rsidP="00677EB9">
      <w:pPr>
        <w:pStyle w:val="NoSpacing"/>
      </w:pPr>
      <w:r>
        <w:t>I</w:t>
      </w:r>
      <w:r w:rsidR="000276A4">
        <w:t>n</w:t>
      </w:r>
      <w:r w:rsidR="00420FA4">
        <w:t xml:space="preserve"> this sample period there were:</w:t>
      </w:r>
    </w:p>
    <w:p w:rsidR="00420FA4" w:rsidRDefault="00FE2C5D" w:rsidP="00420FA4">
      <w:pPr>
        <w:pStyle w:val="NoSpacing"/>
        <w:numPr>
          <w:ilvl w:val="0"/>
          <w:numId w:val="22"/>
        </w:numPr>
      </w:pPr>
      <w:r>
        <w:t xml:space="preserve">23 </w:t>
      </w:r>
      <w:r w:rsidR="006F1DC7">
        <w:t>witness applications</w:t>
      </w:r>
      <w:r w:rsidR="000276A4">
        <w:t xml:space="preserve"> (</w:t>
      </w:r>
      <w:r>
        <w:t>70%</w:t>
      </w:r>
      <w:r w:rsidR="000276A4">
        <w:t xml:space="preserve">) </w:t>
      </w:r>
      <w:r>
        <w:t>w</w:t>
      </w:r>
      <w:r w:rsidR="00420FA4">
        <w:t>h</w:t>
      </w:r>
      <w:r>
        <w:t xml:space="preserve">ere the accused </w:t>
      </w:r>
      <w:r w:rsidR="00420FA4">
        <w:t>were</w:t>
      </w:r>
      <w:r>
        <w:t xml:space="preserve"> on bail when they viewed</w:t>
      </w:r>
      <w:r w:rsidR="001D071A">
        <w:t xml:space="preserve"> </w:t>
      </w:r>
      <w:r>
        <w:t xml:space="preserve"> </w:t>
      </w:r>
      <w:r w:rsidR="00420FA4">
        <w:t>that witnesses evidence;</w:t>
      </w:r>
      <w:r>
        <w:t xml:space="preserve"> and </w:t>
      </w:r>
    </w:p>
    <w:p w:rsidR="000276A4" w:rsidRDefault="00FE2C5D" w:rsidP="00420FA4">
      <w:pPr>
        <w:pStyle w:val="NoSpacing"/>
        <w:numPr>
          <w:ilvl w:val="0"/>
          <w:numId w:val="22"/>
        </w:numPr>
      </w:pPr>
      <w:r>
        <w:t>6 witness applications (</w:t>
      </w:r>
      <w:r w:rsidR="007128EA">
        <w:t>18</w:t>
      </w:r>
      <w:r>
        <w:t xml:space="preserve">%) </w:t>
      </w:r>
      <w:r w:rsidR="000276A4">
        <w:t xml:space="preserve">where the accused </w:t>
      </w:r>
      <w:r w:rsidR="006F1DC7">
        <w:t>would have been transferred</w:t>
      </w:r>
      <w:r w:rsidR="000276A4">
        <w:t xml:space="preserve"> from </w:t>
      </w:r>
      <w:r w:rsidR="006F1DC7">
        <w:t>prison</w:t>
      </w:r>
      <w:r w:rsidR="007128EA">
        <w:t xml:space="preserve"> for that viewing</w:t>
      </w:r>
      <w:r w:rsidR="00E05686">
        <w:t>:</w:t>
      </w:r>
    </w:p>
    <w:p w:rsidR="00FE2C5D" w:rsidRDefault="00FE2C5D" w:rsidP="00677EB9">
      <w:pPr>
        <w:pStyle w:val="NoSpacing"/>
      </w:pPr>
    </w:p>
    <w:tbl>
      <w:tblPr>
        <w:tblStyle w:val="TableGrid"/>
        <w:tblW w:w="9464" w:type="dxa"/>
        <w:tblLook w:val="04A0" w:firstRow="1" w:lastRow="0" w:firstColumn="1" w:lastColumn="0" w:noHBand="0" w:noVBand="1"/>
      </w:tblPr>
      <w:tblGrid>
        <w:gridCol w:w="4286"/>
        <w:gridCol w:w="1239"/>
        <w:gridCol w:w="1205"/>
        <w:gridCol w:w="1316"/>
        <w:gridCol w:w="1418"/>
      </w:tblGrid>
      <w:tr w:rsidR="001F622E" w:rsidRPr="006A7BFA" w:rsidTr="001F622E">
        <w:tc>
          <w:tcPr>
            <w:tcW w:w="4286" w:type="dxa"/>
            <w:shd w:val="clear" w:color="auto" w:fill="365F91" w:themeFill="accent1" w:themeFillShade="BF"/>
          </w:tcPr>
          <w:p w:rsidR="001F622E" w:rsidRPr="006A7BFA" w:rsidRDefault="001F622E" w:rsidP="000276A4">
            <w:pPr>
              <w:pStyle w:val="NoSpacing"/>
              <w:rPr>
                <w:color w:val="FFFFFF" w:themeColor="background1"/>
                <w:sz w:val="20"/>
                <w:szCs w:val="20"/>
              </w:rPr>
            </w:pPr>
            <w:r w:rsidRPr="006A7BFA">
              <w:rPr>
                <w:color w:val="FFFFFF" w:themeColor="background1"/>
                <w:sz w:val="20"/>
                <w:szCs w:val="20"/>
              </w:rPr>
              <w:t xml:space="preserve">The Pattern of Applications </w:t>
            </w:r>
          </w:p>
        </w:tc>
        <w:tc>
          <w:tcPr>
            <w:tcW w:w="1239" w:type="dxa"/>
            <w:shd w:val="clear" w:color="auto" w:fill="365F91" w:themeFill="accent1" w:themeFillShade="BF"/>
          </w:tcPr>
          <w:p w:rsidR="001F622E" w:rsidRPr="006A7BFA" w:rsidRDefault="001F622E" w:rsidP="000276A4">
            <w:pPr>
              <w:pStyle w:val="NoSpacing"/>
              <w:jc w:val="center"/>
              <w:rPr>
                <w:color w:val="FFFFFF" w:themeColor="background1"/>
                <w:sz w:val="20"/>
                <w:szCs w:val="20"/>
              </w:rPr>
            </w:pPr>
            <w:r w:rsidRPr="006A7BFA">
              <w:rPr>
                <w:color w:val="FFFFFF" w:themeColor="background1"/>
                <w:sz w:val="20"/>
                <w:szCs w:val="20"/>
              </w:rPr>
              <w:t>Case</w:t>
            </w:r>
          </w:p>
          <w:p w:rsidR="001F622E" w:rsidRPr="006A7BFA" w:rsidRDefault="001F622E" w:rsidP="000276A4">
            <w:pPr>
              <w:pStyle w:val="NoSpacing"/>
              <w:jc w:val="center"/>
              <w:rPr>
                <w:color w:val="FFFFFF" w:themeColor="background1"/>
                <w:sz w:val="20"/>
                <w:szCs w:val="20"/>
              </w:rPr>
            </w:pPr>
            <w:r w:rsidRPr="006A7BFA">
              <w:rPr>
                <w:color w:val="FFFFFF" w:themeColor="background1"/>
                <w:sz w:val="20"/>
                <w:szCs w:val="20"/>
              </w:rPr>
              <w:t>Count</w:t>
            </w:r>
          </w:p>
        </w:tc>
        <w:tc>
          <w:tcPr>
            <w:tcW w:w="1205" w:type="dxa"/>
            <w:shd w:val="clear" w:color="auto" w:fill="365F91" w:themeFill="accent1" w:themeFillShade="BF"/>
          </w:tcPr>
          <w:p w:rsidR="001F622E" w:rsidRDefault="001F622E" w:rsidP="000276A4">
            <w:pPr>
              <w:pStyle w:val="NoSpacing"/>
              <w:jc w:val="center"/>
              <w:rPr>
                <w:color w:val="FFFFFF" w:themeColor="background1"/>
                <w:sz w:val="20"/>
                <w:szCs w:val="20"/>
              </w:rPr>
            </w:pPr>
            <w:r>
              <w:rPr>
                <w:color w:val="FFFFFF" w:themeColor="background1"/>
                <w:sz w:val="20"/>
                <w:szCs w:val="20"/>
              </w:rPr>
              <w:t>Did not proceed</w:t>
            </w:r>
          </w:p>
        </w:tc>
        <w:tc>
          <w:tcPr>
            <w:tcW w:w="1316" w:type="dxa"/>
            <w:shd w:val="clear" w:color="auto" w:fill="365F91" w:themeFill="accent1" w:themeFillShade="BF"/>
          </w:tcPr>
          <w:p w:rsidR="001F622E" w:rsidRDefault="001F622E" w:rsidP="000276A4">
            <w:pPr>
              <w:pStyle w:val="NoSpacing"/>
              <w:jc w:val="center"/>
              <w:rPr>
                <w:color w:val="FFFFFF" w:themeColor="background1"/>
                <w:sz w:val="20"/>
                <w:szCs w:val="20"/>
              </w:rPr>
            </w:pPr>
            <w:r>
              <w:rPr>
                <w:color w:val="FFFFFF" w:themeColor="background1"/>
                <w:sz w:val="20"/>
                <w:szCs w:val="20"/>
              </w:rPr>
              <w:t xml:space="preserve">Accused </w:t>
            </w:r>
          </w:p>
          <w:p w:rsidR="001F622E" w:rsidRPr="001F622E" w:rsidRDefault="006F1DC7" w:rsidP="001F622E">
            <w:pPr>
              <w:pStyle w:val="NoSpacing"/>
              <w:jc w:val="center"/>
              <w:rPr>
                <w:color w:val="FFFFFF" w:themeColor="background1"/>
                <w:sz w:val="20"/>
                <w:szCs w:val="20"/>
              </w:rPr>
            </w:pPr>
            <w:r>
              <w:rPr>
                <w:color w:val="FFFFFF" w:themeColor="background1"/>
                <w:sz w:val="20"/>
                <w:szCs w:val="20"/>
              </w:rPr>
              <w:t>on</w:t>
            </w:r>
            <w:r w:rsidR="001F622E">
              <w:rPr>
                <w:color w:val="FFFFFF" w:themeColor="background1"/>
                <w:sz w:val="20"/>
                <w:szCs w:val="20"/>
              </w:rPr>
              <w:t xml:space="preserve"> bail</w:t>
            </w:r>
          </w:p>
        </w:tc>
        <w:tc>
          <w:tcPr>
            <w:tcW w:w="1418" w:type="dxa"/>
            <w:shd w:val="clear" w:color="auto" w:fill="365F91" w:themeFill="accent1" w:themeFillShade="BF"/>
          </w:tcPr>
          <w:p w:rsidR="001F622E" w:rsidRPr="001F622E" w:rsidRDefault="001F622E" w:rsidP="006F1DC7">
            <w:pPr>
              <w:pStyle w:val="NoSpacing"/>
              <w:jc w:val="center"/>
              <w:rPr>
                <w:color w:val="FFFFFF" w:themeColor="background1"/>
                <w:sz w:val="20"/>
                <w:szCs w:val="20"/>
              </w:rPr>
            </w:pPr>
            <w:r>
              <w:rPr>
                <w:color w:val="FFFFFF" w:themeColor="background1"/>
                <w:sz w:val="20"/>
                <w:szCs w:val="20"/>
              </w:rPr>
              <w:t xml:space="preserve">Accused </w:t>
            </w:r>
            <w:r w:rsidR="006F1DC7">
              <w:rPr>
                <w:color w:val="FFFFFF" w:themeColor="background1"/>
                <w:sz w:val="20"/>
                <w:szCs w:val="20"/>
              </w:rPr>
              <w:t>in</w:t>
            </w:r>
            <w:r>
              <w:rPr>
                <w:color w:val="FFFFFF" w:themeColor="background1"/>
                <w:sz w:val="20"/>
                <w:szCs w:val="20"/>
              </w:rPr>
              <w:t xml:space="preserve"> Custody</w:t>
            </w:r>
          </w:p>
        </w:tc>
      </w:tr>
      <w:tr w:rsidR="001F622E" w:rsidRPr="006A7BFA" w:rsidTr="001F622E">
        <w:tc>
          <w:tcPr>
            <w:tcW w:w="4286" w:type="dxa"/>
          </w:tcPr>
          <w:p w:rsidR="001F622E" w:rsidRPr="006A7BFA" w:rsidRDefault="001F622E" w:rsidP="000276A4">
            <w:pPr>
              <w:pStyle w:val="NoSpacing"/>
              <w:rPr>
                <w:sz w:val="20"/>
                <w:szCs w:val="20"/>
              </w:rPr>
            </w:pPr>
            <w:r w:rsidRPr="006A7BFA">
              <w:rPr>
                <w:sz w:val="20"/>
                <w:szCs w:val="20"/>
              </w:rPr>
              <w:t xml:space="preserve">Applications </w:t>
            </w:r>
            <w:r>
              <w:rPr>
                <w:sz w:val="20"/>
                <w:szCs w:val="20"/>
              </w:rPr>
              <w:t xml:space="preserve">– in </w:t>
            </w:r>
            <w:r w:rsidRPr="006A7BFA">
              <w:rPr>
                <w:sz w:val="20"/>
                <w:szCs w:val="20"/>
              </w:rPr>
              <w:t>case</w:t>
            </w:r>
            <w:r>
              <w:rPr>
                <w:sz w:val="20"/>
                <w:szCs w:val="20"/>
              </w:rPr>
              <w:t>s with 1 accused</w:t>
            </w:r>
          </w:p>
        </w:tc>
        <w:tc>
          <w:tcPr>
            <w:tcW w:w="1239" w:type="dxa"/>
          </w:tcPr>
          <w:p w:rsidR="001F622E" w:rsidRPr="006A7BFA" w:rsidRDefault="001F622E" w:rsidP="000276A4">
            <w:pPr>
              <w:pStyle w:val="NoSpacing"/>
              <w:jc w:val="center"/>
              <w:rPr>
                <w:sz w:val="20"/>
                <w:szCs w:val="20"/>
              </w:rPr>
            </w:pPr>
            <w:r>
              <w:rPr>
                <w:sz w:val="20"/>
                <w:szCs w:val="20"/>
              </w:rPr>
              <w:t>31</w:t>
            </w:r>
          </w:p>
        </w:tc>
        <w:tc>
          <w:tcPr>
            <w:tcW w:w="1205" w:type="dxa"/>
          </w:tcPr>
          <w:p w:rsidR="001F622E" w:rsidRPr="006F1DC7" w:rsidRDefault="006F1DC7" w:rsidP="000276A4">
            <w:pPr>
              <w:pStyle w:val="NoSpacing"/>
              <w:jc w:val="center"/>
              <w:rPr>
                <w:sz w:val="20"/>
                <w:szCs w:val="20"/>
              </w:rPr>
            </w:pPr>
            <w:r>
              <w:rPr>
                <w:sz w:val="20"/>
                <w:szCs w:val="20"/>
              </w:rPr>
              <w:t>3</w:t>
            </w:r>
          </w:p>
        </w:tc>
        <w:tc>
          <w:tcPr>
            <w:tcW w:w="1316" w:type="dxa"/>
          </w:tcPr>
          <w:p w:rsidR="001F622E" w:rsidRPr="006F1DC7" w:rsidRDefault="006F1DC7" w:rsidP="000276A4">
            <w:pPr>
              <w:pStyle w:val="NoSpacing"/>
              <w:jc w:val="center"/>
              <w:rPr>
                <w:sz w:val="20"/>
                <w:szCs w:val="20"/>
              </w:rPr>
            </w:pPr>
            <w:r>
              <w:rPr>
                <w:sz w:val="20"/>
                <w:szCs w:val="20"/>
              </w:rPr>
              <w:t>22</w:t>
            </w:r>
          </w:p>
        </w:tc>
        <w:tc>
          <w:tcPr>
            <w:tcW w:w="1418" w:type="dxa"/>
          </w:tcPr>
          <w:p w:rsidR="001F622E" w:rsidRPr="006F1DC7" w:rsidRDefault="006F1DC7" w:rsidP="000276A4">
            <w:pPr>
              <w:pStyle w:val="NoSpacing"/>
              <w:jc w:val="center"/>
              <w:rPr>
                <w:sz w:val="20"/>
                <w:szCs w:val="20"/>
              </w:rPr>
            </w:pPr>
            <w:r>
              <w:rPr>
                <w:sz w:val="20"/>
                <w:szCs w:val="20"/>
              </w:rPr>
              <w:t>6</w:t>
            </w:r>
          </w:p>
        </w:tc>
      </w:tr>
      <w:tr w:rsidR="001F622E" w:rsidRPr="006A7BFA" w:rsidTr="001F622E">
        <w:tc>
          <w:tcPr>
            <w:tcW w:w="4286" w:type="dxa"/>
          </w:tcPr>
          <w:p w:rsidR="001F622E" w:rsidRPr="006A7BFA" w:rsidRDefault="001F622E" w:rsidP="000276A4">
            <w:pPr>
              <w:pStyle w:val="NoSpacing"/>
              <w:rPr>
                <w:sz w:val="20"/>
                <w:szCs w:val="20"/>
              </w:rPr>
            </w:pPr>
            <w:r w:rsidRPr="006A7BFA">
              <w:rPr>
                <w:sz w:val="20"/>
                <w:szCs w:val="20"/>
              </w:rPr>
              <w:t xml:space="preserve">Applications - </w:t>
            </w:r>
            <w:r>
              <w:rPr>
                <w:sz w:val="20"/>
                <w:szCs w:val="20"/>
              </w:rPr>
              <w:t xml:space="preserve">in </w:t>
            </w:r>
            <w:r w:rsidRPr="006A7BFA">
              <w:rPr>
                <w:sz w:val="20"/>
                <w:szCs w:val="20"/>
              </w:rPr>
              <w:t>case</w:t>
            </w:r>
            <w:r>
              <w:rPr>
                <w:sz w:val="20"/>
                <w:szCs w:val="20"/>
              </w:rPr>
              <w:t>s with 2 accused</w:t>
            </w:r>
          </w:p>
        </w:tc>
        <w:tc>
          <w:tcPr>
            <w:tcW w:w="1239" w:type="dxa"/>
          </w:tcPr>
          <w:p w:rsidR="001F622E" w:rsidRPr="006A7BFA" w:rsidRDefault="001F622E" w:rsidP="000276A4">
            <w:pPr>
              <w:pStyle w:val="NoSpacing"/>
              <w:jc w:val="center"/>
              <w:rPr>
                <w:sz w:val="20"/>
                <w:szCs w:val="20"/>
              </w:rPr>
            </w:pPr>
            <w:r>
              <w:rPr>
                <w:sz w:val="20"/>
                <w:szCs w:val="20"/>
              </w:rPr>
              <w:t>1</w:t>
            </w:r>
          </w:p>
        </w:tc>
        <w:tc>
          <w:tcPr>
            <w:tcW w:w="1205" w:type="dxa"/>
          </w:tcPr>
          <w:p w:rsidR="001F622E" w:rsidRPr="006F1DC7" w:rsidRDefault="006F1DC7" w:rsidP="000276A4">
            <w:pPr>
              <w:pStyle w:val="NoSpacing"/>
              <w:jc w:val="center"/>
              <w:rPr>
                <w:sz w:val="20"/>
                <w:szCs w:val="20"/>
              </w:rPr>
            </w:pPr>
            <w:r>
              <w:rPr>
                <w:sz w:val="20"/>
                <w:szCs w:val="20"/>
              </w:rPr>
              <w:t>1</w:t>
            </w:r>
          </w:p>
        </w:tc>
        <w:tc>
          <w:tcPr>
            <w:tcW w:w="1316" w:type="dxa"/>
          </w:tcPr>
          <w:p w:rsidR="001F622E" w:rsidRPr="006F1DC7" w:rsidRDefault="001F622E" w:rsidP="000276A4">
            <w:pPr>
              <w:pStyle w:val="NoSpacing"/>
              <w:jc w:val="center"/>
              <w:rPr>
                <w:sz w:val="20"/>
                <w:szCs w:val="20"/>
              </w:rPr>
            </w:pPr>
          </w:p>
        </w:tc>
        <w:tc>
          <w:tcPr>
            <w:tcW w:w="1418" w:type="dxa"/>
          </w:tcPr>
          <w:p w:rsidR="001F622E" w:rsidRPr="006F1DC7" w:rsidRDefault="001F622E" w:rsidP="000276A4">
            <w:pPr>
              <w:pStyle w:val="NoSpacing"/>
              <w:jc w:val="center"/>
              <w:rPr>
                <w:sz w:val="20"/>
                <w:szCs w:val="20"/>
              </w:rPr>
            </w:pPr>
          </w:p>
        </w:tc>
      </w:tr>
      <w:tr w:rsidR="001F622E" w:rsidRPr="006A7BFA" w:rsidTr="001F622E">
        <w:tc>
          <w:tcPr>
            <w:tcW w:w="4286" w:type="dxa"/>
          </w:tcPr>
          <w:p w:rsidR="001F622E" w:rsidRPr="006A7BFA" w:rsidRDefault="001F622E" w:rsidP="000276A4">
            <w:pPr>
              <w:pStyle w:val="NoSpacing"/>
              <w:rPr>
                <w:sz w:val="20"/>
                <w:szCs w:val="20"/>
              </w:rPr>
            </w:pPr>
            <w:r w:rsidRPr="006A7BFA">
              <w:rPr>
                <w:sz w:val="20"/>
                <w:szCs w:val="20"/>
              </w:rPr>
              <w:t xml:space="preserve">Applications - </w:t>
            </w:r>
            <w:r>
              <w:rPr>
                <w:sz w:val="20"/>
                <w:szCs w:val="20"/>
              </w:rPr>
              <w:t xml:space="preserve">in </w:t>
            </w:r>
            <w:r w:rsidRPr="006A7BFA">
              <w:rPr>
                <w:sz w:val="20"/>
                <w:szCs w:val="20"/>
              </w:rPr>
              <w:t>case</w:t>
            </w:r>
            <w:r>
              <w:rPr>
                <w:sz w:val="20"/>
                <w:szCs w:val="20"/>
              </w:rPr>
              <w:t>s with 3 accused</w:t>
            </w:r>
          </w:p>
        </w:tc>
        <w:tc>
          <w:tcPr>
            <w:tcW w:w="1239" w:type="dxa"/>
          </w:tcPr>
          <w:p w:rsidR="001F622E" w:rsidRPr="006A7BFA" w:rsidRDefault="001F622E" w:rsidP="000276A4">
            <w:pPr>
              <w:pStyle w:val="NoSpacing"/>
              <w:jc w:val="center"/>
              <w:rPr>
                <w:sz w:val="20"/>
                <w:szCs w:val="20"/>
              </w:rPr>
            </w:pPr>
            <w:r>
              <w:rPr>
                <w:sz w:val="20"/>
                <w:szCs w:val="20"/>
              </w:rPr>
              <w:t>1</w:t>
            </w:r>
          </w:p>
        </w:tc>
        <w:tc>
          <w:tcPr>
            <w:tcW w:w="1205" w:type="dxa"/>
          </w:tcPr>
          <w:p w:rsidR="001F622E" w:rsidRPr="006F1DC7" w:rsidRDefault="001F622E" w:rsidP="000276A4">
            <w:pPr>
              <w:pStyle w:val="NoSpacing"/>
              <w:jc w:val="center"/>
              <w:rPr>
                <w:sz w:val="20"/>
                <w:szCs w:val="20"/>
              </w:rPr>
            </w:pPr>
          </w:p>
        </w:tc>
        <w:tc>
          <w:tcPr>
            <w:tcW w:w="1316" w:type="dxa"/>
          </w:tcPr>
          <w:p w:rsidR="001F622E" w:rsidRPr="006F1DC7" w:rsidRDefault="006F1DC7" w:rsidP="000276A4">
            <w:pPr>
              <w:pStyle w:val="NoSpacing"/>
              <w:jc w:val="center"/>
              <w:rPr>
                <w:sz w:val="20"/>
                <w:szCs w:val="20"/>
              </w:rPr>
            </w:pPr>
            <w:r>
              <w:rPr>
                <w:sz w:val="20"/>
                <w:szCs w:val="20"/>
              </w:rPr>
              <w:t>1</w:t>
            </w:r>
          </w:p>
        </w:tc>
        <w:tc>
          <w:tcPr>
            <w:tcW w:w="1418" w:type="dxa"/>
          </w:tcPr>
          <w:p w:rsidR="001F622E" w:rsidRPr="006F1DC7" w:rsidRDefault="001F622E" w:rsidP="000276A4">
            <w:pPr>
              <w:pStyle w:val="NoSpacing"/>
              <w:jc w:val="center"/>
              <w:rPr>
                <w:sz w:val="20"/>
                <w:szCs w:val="20"/>
              </w:rPr>
            </w:pPr>
          </w:p>
        </w:tc>
      </w:tr>
      <w:tr w:rsidR="001F622E" w:rsidRPr="006A7BFA" w:rsidTr="001F622E">
        <w:tc>
          <w:tcPr>
            <w:tcW w:w="4286" w:type="dxa"/>
          </w:tcPr>
          <w:p w:rsidR="001F622E" w:rsidRPr="006A7BFA" w:rsidRDefault="001F622E" w:rsidP="000276A4">
            <w:pPr>
              <w:pStyle w:val="NoSpacing"/>
              <w:rPr>
                <w:sz w:val="20"/>
                <w:szCs w:val="20"/>
              </w:rPr>
            </w:pPr>
          </w:p>
        </w:tc>
        <w:tc>
          <w:tcPr>
            <w:tcW w:w="1239" w:type="dxa"/>
          </w:tcPr>
          <w:p w:rsidR="001F622E" w:rsidRPr="006A7BFA" w:rsidRDefault="001F622E" w:rsidP="000276A4">
            <w:pPr>
              <w:pStyle w:val="NoSpacing"/>
              <w:jc w:val="center"/>
              <w:rPr>
                <w:sz w:val="20"/>
                <w:szCs w:val="20"/>
              </w:rPr>
            </w:pPr>
            <w:r>
              <w:rPr>
                <w:sz w:val="20"/>
                <w:szCs w:val="20"/>
              </w:rPr>
              <w:t>33</w:t>
            </w:r>
          </w:p>
        </w:tc>
        <w:tc>
          <w:tcPr>
            <w:tcW w:w="1205" w:type="dxa"/>
          </w:tcPr>
          <w:p w:rsidR="001F622E" w:rsidRPr="006F1DC7" w:rsidRDefault="006F1DC7" w:rsidP="000276A4">
            <w:pPr>
              <w:pStyle w:val="NoSpacing"/>
              <w:jc w:val="center"/>
              <w:rPr>
                <w:sz w:val="20"/>
                <w:szCs w:val="20"/>
              </w:rPr>
            </w:pPr>
            <w:r>
              <w:rPr>
                <w:sz w:val="20"/>
                <w:szCs w:val="20"/>
              </w:rPr>
              <w:t>4</w:t>
            </w:r>
          </w:p>
        </w:tc>
        <w:tc>
          <w:tcPr>
            <w:tcW w:w="1316" w:type="dxa"/>
          </w:tcPr>
          <w:p w:rsidR="001F622E" w:rsidRPr="006F1DC7" w:rsidRDefault="006F1DC7" w:rsidP="000276A4">
            <w:pPr>
              <w:pStyle w:val="NoSpacing"/>
              <w:jc w:val="center"/>
              <w:rPr>
                <w:sz w:val="20"/>
                <w:szCs w:val="20"/>
              </w:rPr>
            </w:pPr>
            <w:r>
              <w:rPr>
                <w:sz w:val="20"/>
                <w:szCs w:val="20"/>
              </w:rPr>
              <w:t>23</w:t>
            </w:r>
          </w:p>
        </w:tc>
        <w:tc>
          <w:tcPr>
            <w:tcW w:w="1418" w:type="dxa"/>
          </w:tcPr>
          <w:p w:rsidR="001F622E" w:rsidRPr="006F1DC7" w:rsidRDefault="006F1DC7" w:rsidP="000276A4">
            <w:pPr>
              <w:pStyle w:val="NoSpacing"/>
              <w:jc w:val="center"/>
              <w:rPr>
                <w:sz w:val="20"/>
                <w:szCs w:val="20"/>
              </w:rPr>
            </w:pPr>
            <w:r>
              <w:rPr>
                <w:sz w:val="20"/>
                <w:szCs w:val="20"/>
              </w:rPr>
              <w:t>6</w:t>
            </w:r>
          </w:p>
        </w:tc>
      </w:tr>
      <w:tr w:rsidR="00972F6F" w:rsidRPr="006A7BFA" w:rsidTr="001F622E">
        <w:tc>
          <w:tcPr>
            <w:tcW w:w="4286" w:type="dxa"/>
          </w:tcPr>
          <w:p w:rsidR="00972F6F" w:rsidRPr="006A7BFA" w:rsidRDefault="00972F6F" w:rsidP="000276A4">
            <w:pPr>
              <w:pStyle w:val="NoSpacing"/>
              <w:rPr>
                <w:sz w:val="20"/>
                <w:szCs w:val="20"/>
              </w:rPr>
            </w:pPr>
          </w:p>
        </w:tc>
        <w:tc>
          <w:tcPr>
            <w:tcW w:w="1239" w:type="dxa"/>
          </w:tcPr>
          <w:p w:rsidR="00972F6F" w:rsidRPr="00972F6F" w:rsidRDefault="00972F6F" w:rsidP="000276A4">
            <w:pPr>
              <w:pStyle w:val="NoSpacing"/>
              <w:jc w:val="center"/>
              <w:rPr>
                <w:i/>
                <w:sz w:val="20"/>
                <w:szCs w:val="20"/>
              </w:rPr>
            </w:pPr>
            <w:r w:rsidRPr="00972F6F">
              <w:rPr>
                <w:i/>
                <w:sz w:val="20"/>
                <w:szCs w:val="20"/>
              </w:rPr>
              <w:t>100%</w:t>
            </w:r>
          </w:p>
        </w:tc>
        <w:tc>
          <w:tcPr>
            <w:tcW w:w="1205" w:type="dxa"/>
          </w:tcPr>
          <w:p w:rsidR="00972F6F" w:rsidRPr="00972F6F" w:rsidRDefault="00972F6F" w:rsidP="000276A4">
            <w:pPr>
              <w:pStyle w:val="NoSpacing"/>
              <w:jc w:val="center"/>
              <w:rPr>
                <w:i/>
                <w:sz w:val="20"/>
                <w:szCs w:val="20"/>
              </w:rPr>
            </w:pPr>
            <w:r w:rsidRPr="00972F6F">
              <w:rPr>
                <w:i/>
                <w:sz w:val="20"/>
                <w:szCs w:val="20"/>
              </w:rPr>
              <w:t>12%</w:t>
            </w:r>
          </w:p>
        </w:tc>
        <w:tc>
          <w:tcPr>
            <w:tcW w:w="1316" w:type="dxa"/>
          </w:tcPr>
          <w:p w:rsidR="00972F6F" w:rsidRPr="00972F6F" w:rsidRDefault="00972F6F" w:rsidP="000276A4">
            <w:pPr>
              <w:pStyle w:val="NoSpacing"/>
              <w:jc w:val="center"/>
              <w:rPr>
                <w:i/>
                <w:sz w:val="20"/>
                <w:szCs w:val="20"/>
              </w:rPr>
            </w:pPr>
            <w:r w:rsidRPr="00972F6F">
              <w:rPr>
                <w:i/>
                <w:sz w:val="20"/>
                <w:szCs w:val="20"/>
              </w:rPr>
              <w:t>70%</w:t>
            </w:r>
          </w:p>
        </w:tc>
        <w:tc>
          <w:tcPr>
            <w:tcW w:w="1418" w:type="dxa"/>
          </w:tcPr>
          <w:p w:rsidR="00972F6F" w:rsidRPr="00972F6F" w:rsidRDefault="00972F6F" w:rsidP="000276A4">
            <w:pPr>
              <w:pStyle w:val="NoSpacing"/>
              <w:jc w:val="center"/>
              <w:rPr>
                <w:i/>
                <w:sz w:val="20"/>
                <w:szCs w:val="20"/>
              </w:rPr>
            </w:pPr>
            <w:r w:rsidRPr="00972F6F">
              <w:rPr>
                <w:i/>
                <w:sz w:val="20"/>
                <w:szCs w:val="20"/>
              </w:rPr>
              <w:t>18%</w:t>
            </w:r>
          </w:p>
        </w:tc>
      </w:tr>
    </w:tbl>
    <w:p w:rsidR="000276A4" w:rsidRDefault="000276A4" w:rsidP="00677EB9">
      <w:pPr>
        <w:pStyle w:val="NoSpacing"/>
      </w:pPr>
    </w:p>
    <w:p w:rsidR="000276A4" w:rsidRDefault="000276A4" w:rsidP="00677EB9">
      <w:pPr>
        <w:pStyle w:val="NoSpacing"/>
      </w:pPr>
    </w:p>
    <w:p w:rsidR="000276A4" w:rsidRDefault="000276A4" w:rsidP="00677EB9">
      <w:pPr>
        <w:pStyle w:val="NoSpacing"/>
      </w:pPr>
    </w:p>
    <w:p w:rsidR="006F1DC7" w:rsidRDefault="006F1DC7" w:rsidP="00677EB9">
      <w:pPr>
        <w:pStyle w:val="NoSpacing"/>
      </w:pPr>
    </w:p>
    <w:p w:rsidR="006F1DC7" w:rsidRDefault="006F1DC7" w:rsidP="00677EB9">
      <w:pPr>
        <w:pStyle w:val="NoSpacing"/>
      </w:pPr>
    </w:p>
    <w:p w:rsidR="006F1DC7" w:rsidRDefault="006F1DC7" w:rsidP="00677EB9">
      <w:pPr>
        <w:pStyle w:val="NoSpacing"/>
      </w:pPr>
    </w:p>
    <w:p w:rsidR="006F1DC7" w:rsidRDefault="006F1DC7" w:rsidP="00677EB9">
      <w:pPr>
        <w:pStyle w:val="NoSpacing"/>
      </w:pPr>
    </w:p>
    <w:p w:rsidR="006F1DC7" w:rsidRDefault="006F1DC7" w:rsidP="00677EB9">
      <w:pPr>
        <w:pStyle w:val="NoSpacing"/>
      </w:pPr>
    </w:p>
    <w:p w:rsidR="006F1DC7" w:rsidRDefault="006F1DC7" w:rsidP="00677EB9">
      <w:pPr>
        <w:pStyle w:val="NoSpacing"/>
      </w:pPr>
    </w:p>
    <w:p w:rsidR="006F1DC7" w:rsidRDefault="006F1DC7" w:rsidP="00677EB9">
      <w:pPr>
        <w:pStyle w:val="NoSpacing"/>
      </w:pPr>
    </w:p>
    <w:p w:rsidR="006F1DC7" w:rsidRDefault="006F1DC7" w:rsidP="00677EB9">
      <w:pPr>
        <w:pStyle w:val="NoSpacing"/>
      </w:pPr>
    </w:p>
    <w:p w:rsidR="00F864CA" w:rsidRPr="008A0B57" w:rsidRDefault="008C0A32" w:rsidP="00D7229A">
      <w:pPr>
        <w:pStyle w:val="NoSpacing"/>
        <w:rPr>
          <w:u w:val="single"/>
        </w:rPr>
      </w:pPr>
      <w:r>
        <w:rPr>
          <w:u w:val="single"/>
        </w:rPr>
        <w:t>Location of Commissions</w:t>
      </w:r>
    </w:p>
    <w:p w:rsidR="002F0870" w:rsidRDefault="002F0870" w:rsidP="00D7229A">
      <w:pPr>
        <w:pStyle w:val="NoSpacing"/>
      </w:pPr>
    </w:p>
    <w:p w:rsidR="00F864CA" w:rsidRDefault="003C5E31" w:rsidP="00D7229A">
      <w:pPr>
        <w:pStyle w:val="NoSpacing"/>
      </w:pPr>
      <w:r>
        <w:t xml:space="preserve">For the 29 </w:t>
      </w:r>
      <w:r w:rsidR="00401C8A">
        <w:t>witnesses</w:t>
      </w:r>
      <w:r>
        <w:t xml:space="preserve"> that did proceed</w:t>
      </w:r>
      <w:r w:rsidR="00401C8A">
        <w:t xml:space="preserve"> to have their evidence recorded</w:t>
      </w:r>
      <w:r w:rsidR="00D25CCF">
        <w:t xml:space="preserve"> at a ‘commission hearing’</w:t>
      </w:r>
      <w:r>
        <w:t>, t</w:t>
      </w:r>
      <w:r w:rsidR="00203BD7">
        <w:t>he</w:t>
      </w:r>
      <w:r w:rsidR="00401C8A">
        <w:t xml:space="preserve"> courts </w:t>
      </w:r>
      <w:r w:rsidR="008C0A32">
        <w:t xml:space="preserve">had </w:t>
      </w:r>
      <w:r w:rsidR="00401C8A">
        <w:t>deploy</w:t>
      </w:r>
      <w:r w:rsidR="00561CB5">
        <w:t>ed</w:t>
      </w:r>
      <w:r w:rsidR="00401C8A">
        <w:t xml:space="preserve"> a total of</w:t>
      </w:r>
      <w:r w:rsidR="00BC4019">
        <w:t xml:space="preserve"> 11</w:t>
      </w:r>
      <w:r w:rsidR="00203BD7">
        <w:t xml:space="preserve"> </w:t>
      </w:r>
      <w:r>
        <w:t>judicial office holders</w:t>
      </w:r>
      <w:r w:rsidR="00F864CA">
        <w:t xml:space="preserve"> </w:t>
      </w:r>
      <w:r w:rsidR="00401C8A">
        <w:t>to preside</w:t>
      </w:r>
      <w:r>
        <w:t xml:space="preserve"> </w:t>
      </w:r>
      <w:r w:rsidR="00B911F8">
        <w:t>as commissioners</w:t>
      </w:r>
      <w:r w:rsidR="00F864CA">
        <w:t>:</w:t>
      </w:r>
    </w:p>
    <w:p w:rsidR="009022E1" w:rsidRDefault="009022E1" w:rsidP="00D7229A">
      <w:pPr>
        <w:pStyle w:val="NoSpacing"/>
      </w:pPr>
    </w:p>
    <w:tbl>
      <w:tblPr>
        <w:tblStyle w:val="TableGrid"/>
        <w:tblW w:w="9889" w:type="dxa"/>
        <w:tblLook w:val="04A0" w:firstRow="1" w:lastRow="0" w:firstColumn="1" w:lastColumn="0" w:noHBand="0" w:noVBand="1"/>
      </w:tblPr>
      <w:tblGrid>
        <w:gridCol w:w="1809"/>
        <w:gridCol w:w="1225"/>
        <w:gridCol w:w="1315"/>
        <w:gridCol w:w="1429"/>
        <w:gridCol w:w="4111"/>
      </w:tblGrid>
      <w:tr w:rsidR="006C7B0E" w:rsidRPr="006C7B0E" w:rsidTr="006C7B0E">
        <w:tc>
          <w:tcPr>
            <w:tcW w:w="1809" w:type="dxa"/>
            <w:shd w:val="clear" w:color="auto" w:fill="365F91" w:themeFill="accent1" w:themeFillShade="BF"/>
          </w:tcPr>
          <w:p w:rsidR="003C5E31" w:rsidRPr="006C7B0E" w:rsidRDefault="003C5E31" w:rsidP="000E71D1">
            <w:pPr>
              <w:pStyle w:val="NoSpacing"/>
              <w:rPr>
                <w:color w:val="FFFFFF" w:themeColor="background1"/>
                <w:sz w:val="20"/>
                <w:szCs w:val="20"/>
              </w:rPr>
            </w:pPr>
            <w:r w:rsidRPr="006C7B0E">
              <w:rPr>
                <w:color w:val="FFFFFF" w:themeColor="background1"/>
                <w:sz w:val="20"/>
                <w:szCs w:val="20"/>
              </w:rPr>
              <w:t xml:space="preserve">Judge Presiding  </w:t>
            </w:r>
          </w:p>
          <w:p w:rsidR="003C5E31" w:rsidRPr="006C7B0E" w:rsidRDefault="003C5E31" w:rsidP="008A0B57">
            <w:pPr>
              <w:pStyle w:val="NoSpacing"/>
              <w:rPr>
                <w:i/>
                <w:color w:val="FFFFFF" w:themeColor="background1"/>
                <w:sz w:val="20"/>
                <w:szCs w:val="20"/>
              </w:rPr>
            </w:pPr>
          </w:p>
        </w:tc>
        <w:tc>
          <w:tcPr>
            <w:tcW w:w="1225" w:type="dxa"/>
            <w:shd w:val="clear" w:color="auto" w:fill="365F91" w:themeFill="accent1" w:themeFillShade="BF"/>
          </w:tcPr>
          <w:p w:rsidR="003C5E31" w:rsidRPr="006C7B0E" w:rsidRDefault="006C7B0E" w:rsidP="000E71D1">
            <w:pPr>
              <w:pStyle w:val="NoSpacing"/>
              <w:jc w:val="center"/>
              <w:rPr>
                <w:color w:val="FFFFFF" w:themeColor="background1"/>
                <w:sz w:val="20"/>
                <w:szCs w:val="20"/>
              </w:rPr>
            </w:pPr>
            <w:r w:rsidRPr="006C7B0E">
              <w:rPr>
                <w:color w:val="FFFFFF" w:themeColor="background1"/>
                <w:sz w:val="20"/>
                <w:szCs w:val="20"/>
              </w:rPr>
              <w:t xml:space="preserve">Number of </w:t>
            </w:r>
            <w:r w:rsidR="003C5E31" w:rsidRPr="006C7B0E">
              <w:rPr>
                <w:color w:val="FFFFFF" w:themeColor="background1"/>
                <w:sz w:val="20"/>
                <w:szCs w:val="20"/>
              </w:rPr>
              <w:t>Judges</w:t>
            </w:r>
          </w:p>
        </w:tc>
        <w:tc>
          <w:tcPr>
            <w:tcW w:w="1315" w:type="dxa"/>
            <w:shd w:val="clear" w:color="auto" w:fill="365F91" w:themeFill="accent1" w:themeFillShade="BF"/>
          </w:tcPr>
          <w:p w:rsidR="006C7B0E" w:rsidRPr="006C7B0E" w:rsidRDefault="006C7B0E" w:rsidP="000E71D1">
            <w:pPr>
              <w:pStyle w:val="NoSpacing"/>
              <w:jc w:val="center"/>
              <w:rPr>
                <w:color w:val="FFFFFF" w:themeColor="background1"/>
                <w:sz w:val="20"/>
                <w:szCs w:val="20"/>
              </w:rPr>
            </w:pPr>
            <w:r w:rsidRPr="006C7B0E">
              <w:rPr>
                <w:color w:val="FFFFFF" w:themeColor="background1"/>
                <w:sz w:val="20"/>
                <w:szCs w:val="20"/>
              </w:rPr>
              <w:t>Number of</w:t>
            </w:r>
          </w:p>
          <w:p w:rsidR="003C5E31" w:rsidRPr="006C7B0E" w:rsidRDefault="006C7B0E" w:rsidP="000E71D1">
            <w:pPr>
              <w:pStyle w:val="NoSpacing"/>
              <w:jc w:val="center"/>
              <w:rPr>
                <w:color w:val="FFFFFF" w:themeColor="background1"/>
                <w:sz w:val="20"/>
                <w:szCs w:val="20"/>
              </w:rPr>
            </w:pPr>
            <w:r w:rsidRPr="006C7B0E">
              <w:rPr>
                <w:color w:val="FFFFFF" w:themeColor="background1"/>
                <w:sz w:val="20"/>
                <w:szCs w:val="20"/>
              </w:rPr>
              <w:t>Sitting Days</w:t>
            </w:r>
          </w:p>
          <w:p w:rsidR="003C5E31" w:rsidRPr="006C7B0E" w:rsidRDefault="003C5E31" w:rsidP="000E71D1">
            <w:pPr>
              <w:pStyle w:val="NoSpacing"/>
              <w:jc w:val="center"/>
              <w:rPr>
                <w:color w:val="FFFFFF" w:themeColor="background1"/>
                <w:sz w:val="20"/>
                <w:szCs w:val="20"/>
              </w:rPr>
            </w:pPr>
          </w:p>
        </w:tc>
        <w:tc>
          <w:tcPr>
            <w:tcW w:w="1429" w:type="dxa"/>
            <w:shd w:val="clear" w:color="auto" w:fill="365F91" w:themeFill="accent1" w:themeFillShade="BF"/>
          </w:tcPr>
          <w:p w:rsidR="003C5E31" w:rsidRPr="006C7B0E" w:rsidRDefault="003C5E31" w:rsidP="000E71D1">
            <w:pPr>
              <w:pStyle w:val="NoSpacing"/>
              <w:jc w:val="center"/>
              <w:rPr>
                <w:color w:val="FFFFFF" w:themeColor="background1"/>
                <w:sz w:val="20"/>
                <w:szCs w:val="20"/>
              </w:rPr>
            </w:pPr>
            <w:r w:rsidRPr="006C7B0E">
              <w:rPr>
                <w:color w:val="FFFFFF" w:themeColor="background1"/>
                <w:sz w:val="20"/>
                <w:szCs w:val="20"/>
              </w:rPr>
              <w:t>Number of</w:t>
            </w:r>
          </w:p>
          <w:p w:rsidR="003C5E31" w:rsidRDefault="003C5E31" w:rsidP="000E71D1">
            <w:pPr>
              <w:pStyle w:val="NoSpacing"/>
              <w:jc w:val="center"/>
              <w:rPr>
                <w:color w:val="FFFFFF" w:themeColor="background1"/>
                <w:sz w:val="20"/>
                <w:szCs w:val="20"/>
              </w:rPr>
            </w:pPr>
            <w:r w:rsidRPr="006C7B0E">
              <w:rPr>
                <w:color w:val="FFFFFF" w:themeColor="background1"/>
                <w:sz w:val="20"/>
                <w:szCs w:val="20"/>
              </w:rPr>
              <w:t>Witnesses</w:t>
            </w:r>
            <w:r w:rsidR="001B2CB3">
              <w:rPr>
                <w:color w:val="FFFFFF" w:themeColor="background1"/>
                <w:sz w:val="20"/>
                <w:szCs w:val="20"/>
              </w:rPr>
              <w:t xml:space="preserve"> / Recordings</w:t>
            </w:r>
          </w:p>
          <w:p w:rsidR="003C5E31" w:rsidRPr="006C7B0E" w:rsidRDefault="001B2CB3" w:rsidP="001B2CB3">
            <w:pPr>
              <w:pStyle w:val="NoSpacing"/>
              <w:jc w:val="center"/>
              <w:rPr>
                <w:color w:val="FFFFFF" w:themeColor="background1"/>
                <w:sz w:val="20"/>
                <w:szCs w:val="20"/>
              </w:rPr>
            </w:pPr>
            <w:r>
              <w:rPr>
                <w:color w:val="FFFFFF" w:themeColor="background1"/>
                <w:sz w:val="20"/>
                <w:szCs w:val="20"/>
              </w:rPr>
              <w:t>Made</w:t>
            </w:r>
          </w:p>
        </w:tc>
        <w:tc>
          <w:tcPr>
            <w:tcW w:w="4111" w:type="dxa"/>
            <w:shd w:val="clear" w:color="auto" w:fill="365F91" w:themeFill="accent1" w:themeFillShade="BF"/>
          </w:tcPr>
          <w:p w:rsidR="003C5E31" w:rsidRPr="006C7B0E" w:rsidRDefault="003C5E31" w:rsidP="000E71D1">
            <w:pPr>
              <w:pStyle w:val="NoSpacing"/>
              <w:jc w:val="center"/>
              <w:rPr>
                <w:color w:val="FFFFFF" w:themeColor="background1"/>
                <w:sz w:val="20"/>
                <w:szCs w:val="20"/>
              </w:rPr>
            </w:pPr>
            <w:r w:rsidRPr="006C7B0E">
              <w:rPr>
                <w:color w:val="FFFFFF" w:themeColor="background1"/>
                <w:sz w:val="20"/>
                <w:szCs w:val="20"/>
              </w:rPr>
              <w:t>Location</w:t>
            </w:r>
          </w:p>
        </w:tc>
      </w:tr>
      <w:tr w:rsidR="006C7B0E" w:rsidRPr="006C7B0E" w:rsidTr="006C7B0E">
        <w:tc>
          <w:tcPr>
            <w:tcW w:w="1809" w:type="dxa"/>
          </w:tcPr>
          <w:p w:rsidR="003C5E31" w:rsidRPr="006C7B0E" w:rsidRDefault="003C5E31" w:rsidP="008A0B57">
            <w:pPr>
              <w:pStyle w:val="NoSpacing"/>
              <w:rPr>
                <w:sz w:val="20"/>
                <w:szCs w:val="20"/>
              </w:rPr>
            </w:pPr>
            <w:r w:rsidRPr="006C7B0E">
              <w:rPr>
                <w:sz w:val="20"/>
                <w:szCs w:val="20"/>
              </w:rPr>
              <w:t>Lord Armstrong</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1</w:t>
            </w:r>
          </w:p>
        </w:tc>
        <w:tc>
          <w:tcPr>
            <w:tcW w:w="1429" w:type="dxa"/>
          </w:tcPr>
          <w:p w:rsidR="003C5E31" w:rsidRPr="006C7B0E" w:rsidRDefault="003C5E31" w:rsidP="000E71D1">
            <w:pPr>
              <w:pStyle w:val="NoSpacing"/>
              <w:jc w:val="center"/>
              <w:rPr>
                <w:sz w:val="20"/>
                <w:szCs w:val="20"/>
              </w:rPr>
            </w:pPr>
            <w:r w:rsidRPr="006C7B0E">
              <w:rPr>
                <w:sz w:val="20"/>
                <w:szCs w:val="20"/>
              </w:rPr>
              <w:t>1</w:t>
            </w:r>
          </w:p>
        </w:tc>
        <w:tc>
          <w:tcPr>
            <w:tcW w:w="4111" w:type="dxa"/>
          </w:tcPr>
          <w:p w:rsidR="003C5E31" w:rsidRPr="006C7B0E" w:rsidRDefault="003C5E31" w:rsidP="006C7B0E">
            <w:pPr>
              <w:pStyle w:val="NoSpacing"/>
              <w:rPr>
                <w:sz w:val="20"/>
                <w:szCs w:val="20"/>
              </w:rPr>
            </w:pPr>
            <w:r w:rsidRPr="006C7B0E">
              <w:rPr>
                <w:sz w:val="20"/>
                <w:szCs w:val="20"/>
              </w:rPr>
              <w:t>Livingston</w:t>
            </w:r>
            <w:r w:rsidR="009F3516" w:rsidRPr="006C7B0E">
              <w:rPr>
                <w:sz w:val="20"/>
                <w:szCs w:val="20"/>
              </w:rPr>
              <w:t xml:space="preserve"> </w:t>
            </w:r>
            <w:r w:rsidR="006C7B0E">
              <w:rPr>
                <w:sz w:val="20"/>
                <w:szCs w:val="20"/>
              </w:rPr>
              <w:t>HC</w:t>
            </w:r>
          </w:p>
        </w:tc>
      </w:tr>
      <w:tr w:rsidR="006C7B0E" w:rsidRPr="006C7B0E" w:rsidTr="006C7B0E">
        <w:tc>
          <w:tcPr>
            <w:tcW w:w="1809" w:type="dxa"/>
          </w:tcPr>
          <w:p w:rsidR="003C5E31" w:rsidRPr="006C7B0E" w:rsidRDefault="003C5E31" w:rsidP="008A0B57">
            <w:pPr>
              <w:pStyle w:val="NoSpacing"/>
              <w:rPr>
                <w:sz w:val="20"/>
                <w:szCs w:val="20"/>
              </w:rPr>
            </w:pPr>
            <w:r w:rsidRPr="006C7B0E">
              <w:rPr>
                <w:sz w:val="20"/>
                <w:szCs w:val="20"/>
              </w:rPr>
              <w:t>Lord Arthurson</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2</w:t>
            </w:r>
          </w:p>
        </w:tc>
        <w:tc>
          <w:tcPr>
            <w:tcW w:w="1429" w:type="dxa"/>
          </w:tcPr>
          <w:p w:rsidR="003C5E31" w:rsidRPr="006C7B0E" w:rsidRDefault="003C5E31" w:rsidP="000E71D1">
            <w:pPr>
              <w:pStyle w:val="NoSpacing"/>
              <w:jc w:val="center"/>
              <w:rPr>
                <w:sz w:val="20"/>
                <w:szCs w:val="20"/>
              </w:rPr>
            </w:pPr>
            <w:r w:rsidRPr="006C7B0E">
              <w:rPr>
                <w:sz w:val="20"/>
                <w:szCs w:val="20"/>
              </w:rPr>
              <w:t>3</w:t>
            </w:r>
          </w:p>
        </w:tc>
        <w:tc>
          <w:tcPr>
            <w:tcW w:w="4111" w:type="dxa"/>
          </w:tcPr>
          <w:p w:rsidR="003C5E31" w:rsidRPr="006C7B0E" w:rsidRDefault="003C5E31" w:rsidP="000E71D1">
            <w:pPr>
              <w:pStyle w:val="NoSpacing"/>
              <w:rPr>
                <w:sz w:val="20"/>
                <w:szCs w:val="20"/>
              </w:rPr>
            </w:pPr>
            <w:r w:rsidRPr="006C7B0E">
              <w:rPr>
                <w:sz w:val="20"/>
                <w:szCs w:val="20"/>
              </w:rPr>
              <w:t>Glasgow HC</w:t>
            </w:r>
          </w:p>
        </w:tc>
      </w:tr>
      <w:tr w:rsidR="006C7B0E" w:rsidRPr="006C7B0E" w:rsidTr="006C7B0E">
        <w:tc>
          <w:tcPr>
            <w:tcW w:w="1809" w:type="dxa"/>
          </w:tcPr>
          <w:p w:rsidR="003C5E31" w:rsidRPr="006C7B0E" w:rsidRDefault="003C5E31" w:rsidP="000E71D1">
            <w:pPr>
              <w:pStyle w:val="NoSpacing"/>
              <w:rPr>
                <w:sz w:val="20"/>
                <w:szCs w:val="20"/>
              </w:rPr>
            </w:pPr>
            <w:r w:rsidRPr="006C7B0E">
              <w:rPr>
                <w:sz w:val="20"/>
                <w:szCs w:val="20"/>
              </w:rPr>
              <w:t>Lord Burns</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4</w:t>
            </w:r>
          </w:p>
        </w:tc>
        <w:tc>
          <w:tcPr>
            <w:tcW w:w="1429" w:type="dxa"/>
          </w:tcPr>
          <w:p w:rsidR="003C5E31" w:rsidRPr="006C7B0E" w:rsidRDefault="003C5E31" w:rsidP="000E71D1">
            <w:pPr>
              <w:pStyle w:val="NoSpacing"/>
              <w:jc w:val="center"/>
              <w:rPr>
                <w:sz w:val="20"/>
                <w:szCs w:val="20"/>
              </w:rPr>
            </w:pPr>
            <w:r w:rsidRPr="006C7B0E">
              <w:rPr>
                <w:sz w:val="20"/>
                <w:szCs w:val="20"/>
              </w:rPr>
              <w:t>5</w:t>
            </w:r>
          </w:p>
        </w:tc>
        <w:tc>
          <w:tcPr>
            <w:tcW w:w="4111" w:type="dxa"/>
          </w:tcPr>
          <w:p w:rsidR="003C5E31" w:rsidRPr="006C7B0E" w:rsidRDefault="003C5E31" w:rsidP="000E71D1">
            <w:pPr>
              <w:pStyle w:val="NoSpacing"/>
              <w:rPr>
                <w:sz w:val="20"/>
                <w:szCs w:val="20"/>
              </w:rPr>
            </w:pPr>
            <w:r w:rsidRPr="006C7B0E">
              <w:rPr>
                <w:sz w:val="20"/>
                <w:szCs w:val="20"/>
              </w:rPr>
              <w:t>Parliament House  (3</w:t>
            </w:r>
            <w:r w:rsidR="006C7B0E">
              <w:rPr>
                <w:sz w:val="20"/>
                <w:szCs w:val="20"/>
              </w:rPr>
              <w:t xml:space="preserve"> days</w:t>
            </w:r>
            <w:r w:rsidRPr="006C7B0E">
              <w:rPr>
                <w:sz w:val="20"/>
                <w:szCs w:val="20"/>
              </w:rPr>
              <w:t>)</w:t>
            </w:r>
          </w:p>
          <w:p w:rsidR="003C5E31" w:rsidRPr="006C7B0E" w:rsidRDefault="006335F4" w:rsidP="003C5E31">
            <w:pPr>
              <w:pStyle w:val="NoSpacing"/>
              <w:rPr>
                <w:sz w:val="20"/>
                <w:szCs w:val="20"/>
              </w:rPr>
            </w:pPr>
            <w:r w:rsidRPr="006C7B0E">
              <w:rPr>
                <w:sz w:val="20"/>
                <w:szCs w:val="20"/>
              </w:rPr>
              <w:t>Thurso</w:t>
            </w:r>
            <w:r w:rsidR="003C5E31" w:rsidRPr="006C7B0E">
              <w:rPr>
                <w:sz w:val="20"/>
                <w:szCs w:val="20"/>
              </w:rPr>
              <w:t xml:space="preserve"> (1</w:t>
            </w:r>
            <w:r w:rsidR="006C7B0E">
              <w:rPr>
                <w:sz w:val="20"/>
                <w:szCs w:val="20"/>
              </w:rPr>
              <w:t xml:space="preserve"> day</w:t>
            </w:r>
            <w:r w:rsidR="003C5E31" w:rsidRPr="006C7B0E">
              <w:rPr>
                <w:sz w:val="20"/>
                <w:szCs w:val="20"/>
              </w:rPr>
              <w:t xml:space="preserve">) </w:t>
            </w:r>
            <w:r w:rsidR="003C5E31" w:rsidRPr="006C7B0E">
              <w:rPr>
                <w:i/>
                <w:sz w:val="20"/>
                <w:szCs w:val="20"/>
              </w:rPr>
              <w:t>(North Highland College)</w:t>
            </w:r>
            <w:r w:rsidR="003C5E31" w:rsidRPr="006C7B0E">
              <w:rPr>
                <w:sz w:val="20"/>
                <w:szCs w:val="20"/>
              </w:rPr>
              <w:t xml:space="preserve"> </w:t>
            </w:r>
          </w:p>
        </w:tc>
      </w:tr>
      <w:tr w:rsidR="006C7B0E" w:rsidRPr="006C7B0E" w:rsidTr="006C7B0E">
        <w:tc>
          <w:tcPr>
            <w:tcW w:w="1809" w:type="dxa"/>
          </w:tcPr>
          <w:p w:rsidR="003C5E31" w:rsidRPr="006C7B0E" w:rsidRDefault="003C5E31" w:rsidP="00203BD7">
            <w:pPr>
              <w:pStyle w:val="NoSpacing"/>
              <w:rPr>
                <w:sz w:val="20"/>
                <w:szCs w:val="20"/>
              </w:rPr>
            </w:pPr>
            <w:r w:rsidRPr="006C7B0E">
              <w:rPr>
                <w:sz w:val="20"/>
                <w:szCs w:val="20"/>
              </w:rPr>
              <w:t>Lady Carmichael</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2</w:t>
            </w:r>
          </w:p>
        </w:tc>
        <w:tc>
          <w:tcPr>
            <w:tcW w:w="1429" w:type="dxa"/>
          </w:tcPr>
          <w:p w:rsidR="003C5E31" w:rsidRPr="006C7B0E" w:rsidRDefault="003C5E31" w:rsidP="000E71D1">
            <w:pPr>
              <w:pStyle w:val="NoSpacing"/>
              <w:jc w:val="center"/>
              <w:rPr>
                <w:sz w:val="20"/>
                <w:szCs w:val="20"/>
              </w:rPr>
            </w:pPr>
            <w:r w:rsidRPr="006C7B0E">
              <w:rPr>
                <w:sz w:val="20"/>
                <w:szCs w:val="20"/>
              </w:rPr>
              <w:t>3</w:t>
            </w:r>
          </w:p>
        </w:tc>
        <w:tc>
          <w:tcPr>
            <w:tcW w:w="4111" w:type="dxa"/>
          </w:tcPr>
          <w:p w:rsidR="003C5E31" w:rsidRPr="006C7B0E" w:rsidRDefault="003C5E31" w:rsidP="000E71D1">
            <w:pPr>
              <w:pStyle w:val="NoSpacing"/>
              <w:rPr>
                <w:sz w:val="20"/>
                <w:szCs w:val="20"/>
              </w:rPr>
            </w:pPr>
            <w:r w:rsidRPr="006C7B0E">
              <w:rPr>
                <w:sz w:val="20"/>
                <w:szCs w:val="20"/>
              </w:rPr>
              <w:t xml:space="preserve">Parliament House  </w:t>
            </w:r>
          </w:p>
        </w:tc>
      </w:tr>
      <w:tr w:rsidR="006C7B0E" w:rsidRPr="006C7B0E" w:rsidTr="006C7B0E">
        <w:tc>
          <w:tcPr>
            <w:tcW w:w="1809" w:type="dxa"/>
          </w:tcPr>
          <w:p w:rsidR="003C5E31" w:rsidRPr="006C7B0E" w:rsidRDefault="003C5E31" w:rsidP="000E71D1">
            <w:pPr>
              <w:pStyle w:val="NoSpacing"/>
              <w:rPr>
                <w:sz w:val="20"/>
                <w:szCs w:val="20"/>
              </w:rPr>
            </w:pPr>
            <w:r w:rsidRPr="006C7B0E">
              <w:rPr>
                <w:sz w:val="20"/>
                <w:szCs w:val="20"/>
              </w:rPr>
              <w:t>Lord Ericht</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3</w:t>
            </w:r>
          </w:p>
        </w:tc>
        <w:tc>
          <w:tcPr>
            <w:tcW w:w="1429" w:type="dxa"/>
          </w:tcPr>
          <w:p w:rsidR="003C5E31" w:rsidRPr="006C7B0E" w:rsidRDefault="003C5E31" w:rsidP="000E71D1">
            <w:pPr>
              <w:pStyle w:val="NoSpacing"/>
              <w:jc w:val="center"/>
              <w:rPr>
                <w:sz w:val="20"/>
                <w:szCs w:val="20"/>
              </w:rPr>
            </w:pPr>
            <w:r w:rsidRPr="006C7B0E">
              <w:rPr>
                <w:sz w:val="20"/>
                <w:szCs w:val="20"/>
              </w:rPr>
              <w:t>5</w:t>
            </w:r>
          </w:p>
        </w:tc>
        <w:tc>
          <w:tcPr>
            <w:tcW w:w="4111" w:type="dxa"/>
          </w:tcPr>
          <w:p w:rsidR="003C5E31" w:rsidRPr="006C7B0E" w:rsidRDefault="003C5E31" w:rsidP="000E71D1">
            <w:pPr>
              <w:pStyle w:val="NoSpacing"/>
              <w:rPr>
                <w:sz w:val="20"/>
                <w:szCs w:val="20"/>
              </w:rPr>
            </w:pPr>
            <w:r w:rsidRPr="006C7B0E">
              <w:rPr>
                <w:sz w:val="20"/>
                <w:szCs w:val="20"/>
              </w:rPr>
              <w:t xml:space="preserve">Parliament House  </w:t>
            </w:r>
          </w:p>
        </w:tc>
      </w:tr>
      <w:tr w:rsidR="006C7B0E" w:rsidRPr="006C7B0E" w:rsidTr="006C7B0E">
        <w:tc>
          <w:tcPr>
            <w:tcW w:w="1809" w:type="dxa"/>
          </w:tcPr>
          <w:p w:rsidR="003C5E31" w:rsidRPr="006C7B0E" w:rsidRDefault="003C5E31" w:rsidP="000E71D1">
            <w:pPr>
              <w:pStyle w:val="NoSpacing"/>
              <w:rPr>
                <w:sz w:val="20"/>
                <w:szCs w:val="20"/>
              </w:rPr>
            </w:pPr>
            <w:r w:rsidRPr="006C7B0E">
              <w:rPr>
                <w:sz w:val="20"/>
                <w:szCs w:val="20"/>
              </w:rPr>
              <w:t>Lord Kinclaven</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1</w:t>
            </w:r>
          </w:p>
        </w:tc>
        <w:tc>
          <w:tcPr>
            <w:tcW w:w="1429" w:type="dxa"/>
          </w:tcPr>
          <w:p w:rsidR="003C5E31" w:rsidRPr="006C7B0E" w:rsidRDefault="003C5E31" w:rsidP="000E71D1">
            <w:pPr>
              <w:pStyle w:val="NoSpacing"/>
              <w:jc w:val="center"/>
              <w:rPr>
                <w:sz w:val="20"/>
                <w:szCs w:val="20"/>
              </w:rPr>
            </w:pPr>
            <w:r w:rsidRPr="006C7B0E">
              <w:rPr>
                <w:sz w:val="20"/>
                <w:szCs w:val="20"/>
              </w:rPr>
              <w:t>1</w:t>
            </w:r>
          </w:p>
        </w:tc>
        <w:tc>
          <w:tcPr>
            <w:tcW w:w="4111" w:type="dxa"/>
          </w:tcPr>
          <w:p w:rsidR="003C5E31" w:rsidRPr="006C7B0E" w:rsidRDefault="003C5E31" w:rsidP="000E71D1">
            <w:pPr>
              <w:pStyle w:val="NoSpacing"/>
              <w:rPr>
                <w:sz w:val="20"/>
                <w:szCs w:val="20"/>
              </w:rPr>
            </w:pPr>
            <w:r w:rsidRPr="006C7B0E">
              <w:rPr>
                <w:sz w:val="20"/>
                <w:szCs w:val="20"/>
              </w:rPr>
              <w:t xml:space="preserve">Perth </w:t>
            </w:r>
            <w:r w:rsidRPr="006C7B0E">
              <w:rPr>
                <w:i/>
                <w:sz w:val="20"/>
                <w:szCs w:val="20"/>
              </w:rPr>
              <w:t>(Almondbank House)</w:t>
            </w:r>
          </w:p>
        </w:tc>
      </w:tr>
      <w:tr w:rsidR="006C7B0E" w:rsidRPr="006C7B0E" w:rsidTr="006C7B0E">
        <w:tc>
          <w:tcPr>
            <w:tcW w:w="1809" w:type="dxa"/>
          </w:tcPr>
          <w:p w:rsidR="003C5E31" w:rsidRPr="006C7B0E" w:rsidRDefault="003C5E31" w:rsidP="000E71D1">
            <w:pPr>
              <w:pStyle w:val="NoSpacing"/>
              <w:rPr>
                <w:sz w:val="20"/>
                <w:szCs w:val="20"/>
              </w:rPr>
            </w:pPr>
            <w:r w:rsidRPr="006C7B0E">
              <w:rPr>
                <w:sz w:val="20"/>
                <w:szCs w:val="20"/>
              </w:rPr>
              <w:t>Lord Pentland</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1</w:t>
            </w:r>
          </w:p>
        </w:tc>
        <w:tc>
          <w:tcPr>
            <w:tcW w:w="1429" w:type="dxa"/>
          </w:tcPr>
          <w:p w:rsidR="003C5E31" w:rsidRPr="006C7B0E" w:rsidRDefault="003C5E31" w:rsidP="000E71D1">
            <w:pPr>
              <w:pStyle w:val="NoSpacing"/>
              <w:jc w:val="center"/>
              <w:rPr>
                <w:sz w:val="20"/>
                <w:szCs w:val="20"/>
              </w:rPr>
            </w:pPr>
            <w:r w:rsidRPr="006C7B0E">
              <w:rPr>
                <w:sz w:val="20"/>
                <w:szCs w:val="20"/>
              </w:rPr>
              <w:t>1</w:t>
            </w:r>
          </w:p>
        </w:tc>
        <w:tc>
          <w:tcPr>
            <w:tcW w:w="4111" w:type="dxa"/>
          </w:tcPr>
          <w:p w:rsidR="003C5E31" w:rsidRPr="006C7B0E" w:rsidRDefault="003C5E31" w:rsidP="000E71D1">
            <w:pPr>
              <w:pStyle w:val="NoSpacing"/>
              <w:rPr>
                <w:sz w:val="20"/>
                <w:szCs w:val="20"/>
              </w:rPr>
            </w:pPr>
            <w:r w:rsidRPr="006C7B0E">
              <w:rPr>
                <w:sz w:val="20"/>
                <w:szCs w:val="20"/>
              </w:rPr>
              <w:t xml:space="preserve">Parliament House  </w:t>
            </w:r>
          </w:p>
        </w:tc>
      </w:tr>
      <w:tr w:rsidR="006C7B0E" w:rsidRPr="006C7B0E" w:rsidTr="006C7B0E">
        <w:tc>
          <w:tcPr>
            <w:tcW w:w="1809" w:type="dxa"/>
          </w:tcPr>
          <w:p w:rsidR="003C5E31" w:rsidRPr="006C7B0E" w:rsidRDefault="003C5E31" w:rsidP="000E71D1">
            <w:pPr>
              <w:pStyle w:val="NoSpacing"/>
              <w:rPr>
                <w:sz w:val="20"/>
                <w:szCs w:val="20"/>
              </w:rPr>
            </w:pPr>
            <w:r w:rsidRPr="006C7B0E">
              <w:rPr>
                <w:sz w:val="20"/>
                <w:szCs w:val="20"/>
              </w:rPr>
              <w:t>Lady Scott</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2</w:t>
            </w:r>
          </w:p>
        </w:tc>
        <w:tc>
          <w:tcPr>
            <w:tcW w:w="1429" w:type="dxa"/>
          </w:tcPr>
          <w:p w:rsidR="003C5E31" w:rsidRPr="006C7B0E" w:rsidRDefault="003C5E31" w:rsidP="000E71D1">
            <w:pPr>
              <w:pStyle w:val="NoSpacing"/>
              <w:jc w:val="center"/>
              <w:rPr>
                <w:sz w:val="20"/>
                <w:szCs w:val="20"/>
              </w:rPr>
            </w:pPr>
            <w:r w:rsidRPr="006C7B0E">
              <w:rPr>
                <w:sz w:val="20"/>
                <w:szCs w:val="20"/>
              </w:rPr>
              <w:t>4</w:t>
            </w:r>
          </w:p>
        </w:tc>
        <w:tc>
          <w:tcPr>
            <w:tcW w:w="4111" w:type="dxa"/>
          </w:tcPr>
          <w:p w:rsidR="003C5E31" w:rsidRPr="006C7B0E" w:rsidRDefault="003C5E31" w:rsidP="000E71D1">
            <w:pPr>
              <w:pStyle w:val="NoSpacing"/>
              <w:rPr>
                <w:sz w:val="20"/>
                <w:szCs w:val="20"/>
              </w:rPr>
            </w:pPr>
            <w:r w:rsidRPr="006C7B0E">
              <w:rPr>
                <w:sz w:val="20"/>
                <w:szCs w:val="20"/>
              </w:rPr>
              <w:t xml:space="preserve">Parliament House  </w:t>
            </w:r>
          </w:p>
        </w:tc>
      </w:tr>
      <w:tr w:rsidR="006C7B0E" w:rsidRPr="006C7B0E" w:rsidTr="006C7B0E">
        <w:tc>
          <w:tcPr>
            <w:tcW w:w="1809" w:type="dxa"/>
          </w:tcPr>
          <w:p w:rsidR="003C5E31" w:rsidRPr="006C7B0E" w:rsidRDefault="003C5E31" w:rsidP="000E71D1">
            <w:pPr>
              <w:pStyle w:val="NoSpacing"/>
              <w:rPr>
                <w:sz w:val="20"/>
                <w:szCs w:val="20"/>
              </w:rPr>
            </w:pPr>
            <w:r w:rsidRPr="006C7B0E">
              <w:rPr>
                <w:sz w:val="20"/>
                <w:szCs w:val="20"/>
              </w:rPr>
              <w:t>Lady Stacey</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1</w:t>
            </w:r>
          </w:p>
        </w:tc>
        <w:tc>
          <w:tcPr>
            <w:tcW w:w="1429" w:type="dxa"/>
          </w:tcPr>
          <w:p w:rsidR="003C5E31" w:rsidRPr="006C7B0E" w:rsidRDefault="003C5E31" w:rsidP="000E71D1">
            <w:pPr>
              <w:pStyle w:val="NoSpacing"/>
              <w:jc w:val="center"/>
              <w:rPr>
                <w:sz w:val="20"/>
                <w:szCs w:val="20"/>
              </w:rPr>
            </w:pPr>
            <w:r w:rsidRPr="006C7B0E">
              <w:rPr>
                <w:sz w:val="20"/>
                <w:szCs w:val="20"/>
              </w:rPr>
              <w:t>1</w:t>
            </w:r>
          </w:p>
        </w:tc>
        <w:tc>
          <w:tcPr>
            <w:tcW w:w="4111" w:type="dxa"/>
          </w:tcPr>
          <w:p w:rsidR="003C5E31" w:rsidRPr="006C7B0E" w:rsidRDefault="003C5E31" w:rsidP="000E71D1">
            <w:pPr>
              <w:pStyle w:val="NoSpacing"/>
              <w:rPr>
                <w:sz w:val="20"/>
                <w:szCs w:val="20"/>
              </w:rPr>
            </w:pPr>
            <w:r w:rsidRPr="006C7B0E">
              <w:rPr>
                <w:sz w:val="20"/>
                <w:szCs w:val="20"/>
              </w:rPr>
              <w:t>Glasgow HC</w:t>
            </w:r>
          </w:p>
        </w:tc>
      </w:tr>
      <w:tr w:rsidR="006C7B0E" w:rsidRPr="006C7B0E" w:rsidTr="006C7B0E">
        <w:tc>
          <w:tcPr>
            <w:tcW w:w="1809" w:type="dxa"/>
          </w:tcPr>
          <w:p w:rsidR="003C5E31" w:rsidRPr="006C7B0E" w:rsidRDefault="003C5E31" w:rsidP="000E71D1">
            <w:pPr>
              <w:pStyle w:val="NoSpacing"/>
              <w:rPr>
                <w:sz w:val="20"/>
                <w:szCs w:val="20"/>
              </w:rPr>
            </w:pPr>
            <w:r w:rsidRPr="006C7B0E">
              <w:rPr>
                <w:sz w:val="20"/>
                <w:szCs w:val="20"/>
              </w:rPr>
              <w:t>Lady Wise</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1</w:t>
            </w:r>
          </w:p>
        </w:tc>
        <w:tc>
          <w:tcPr>
            <w:tcW w:w="1429" w:type="dxa"/>
          </w:tcPr>
          <w:p w:rsidR="003C5E31" w:rsidRPr="006C7B0E" w:rsidRDefault="003C5E31" w:rsidP="000E71D1">
            <w:pPr>
              <w:pStyle w:val="NoSpacing"/>
              <w:jc w:val="center"/>
              <w:rPr>
                <w:sz w:val="20"/>
                <w:szCs w:val="20"/>
              </w:rPr>
            </w:pPr>
            <w:r w:rsidRPr="006C7B0E">
              <w:rPr>
                <w:sz w:val="20"/>
                <w:szCs w:val="20"/>
              </w:rPr>
              <w:t>1</w:t>
            </w:r>
          </w:p>
        </w:tc>
        <w:tc>
          <w:tcPr>
            <w:tcW w:w="4111" w:type="dxa"/>
          </w:tcPr>
          <w:p w:rsidR="003C5E31" w:rsidRPr="006C7B0E" w:rsidRDefault="003C5E31" w:rsidP="000E71D1">
            <w:pPr>
              <w:pStyle w:val="NoSpacing"/>
              <w:rPr>
                <w:sz w:val="20"/>
                <w:szCs w:val="20"/>
              </w:rPr>
            </w:pPr>
            <w:r w:rsidRPr="006C7B0E">
              <w:rPr>
                <w:sz w:val="20"/>
                <w:szCs w:val="20"/>
              </w:rPr>
              <w:t xml:space="preserve">Parliament House  </w:t>
            </w:r>
          </w:p>
        </w:tc>
      </w:tr>
      <w:tr w:rsidR="006C7B0E" w:rsidRPr="006C7B0E" w:rsidTr="006C7B0E">
        <w:tc>
          <w:tcPr>
            <w:tcW w:w="1809" w:type="dxa"/>
          </w:tcPr>
          <w:p w:rsidR="003C5E31" w:rsidRPr="006C7B0E" w:rsidRDefault="003C5E31" w:rsidP="000E71D1">
            <w:pPr>
              <w:pStyle w:val="NoSpacing"/>
              <w:rPr>
                <w:sz w:val="20"/>
                <w:szCs w:val="20"/>
              </w:rPr>
            </w:pPr>
            <w:r w:rsidRPr="006C7B0E">
              <w:rPr>
                <w:sz w:val="20"/>
                <w:szCs w:val="20"/>
              </w:rPr>
              <w:t>Lord Woolman</w:t>
            </w:r>
          </w:p>
        </w:tc>
        <w:tc>
          <w:tcPr>
            <w:tcW w:w="1225" w:type="dxa"/>
          </w:tcPr>
          <w:p w:rsidR="003C5E31" w:rsidRPr="006C7B0E" w:rsidRDefault="003C5E31" w:rsidP="000E71D1">
            <w:pPr>
              <w:pStyle w:val="NoSpacing"/>
              <w:jc w:val="center"/>
              <w:rPr>
                <w:sz w:val="20"/>
                <w:szCs w:val="20"/>
              </w:rPr>
            </w:pPr>
            <w:r w:rsidRPr="006C7B0E">
              <w:rPr>
                <w:sz w:val="20"/>
                <w:szCs w:val="20"/>
              </w:rPr>
              <w:t>1</w:t>
            </w:r>
          </w:p>
        </w:tc>
        <w:tc>
          <w:tcPr>
            <w:tcW w:w="1315" w:type="dxa"/>
          </w:tcPr>
          <w:p w:rsidR="003C5E31" w:rsidRPr="006C7B0E" w:rsidRDefault="003C5E31" w:rsidP="000E71D1">
            <w:pPr>
              <w:pStyle w:val="NoSpacing"/>
              <w:jc w:val="center"/>
              <w:rPr>
                <w:sz w:val="20"/>
                <w:szCs w:val="20"/>
              </w:rPr>
            </w:pPr>
            <w:r w:rsidRPr="006C7B0E">
              <w:rPr>
                <w:sz w:val="20"/>
                <w:szCs w:val="20"/>
              </w:rPr>
              <w:t>2</w:t>
            </w:r>
          </w:p>
        </w:tc>
        <w:tc>
          <w:tcPr>
            <w:tcW w:w="1429" w:type="dxa"/>
          </w:tcPr>
          <w:p w:rsidR="003C5E31" w:rsidRPr="006C7B0E" w:rsidRDefault="003C5E31" w:rsidP="000E71D1">
            <w:pPr>
              <w:pStyle w:val="NoSpacing"/>
              <w:jc w:val="center"/>
              <w:rPr>
                <w:sz w:val="20"/>
                <w:szCs w:val="20"/>
              </w:rPr>
            </w:pPr>
            <w:r w:rsidRPr="006C7B0E">
              <w:rPr>
                <w:sz w:val="20"/>
                <w:szCs w:val="20"/>
              </w:rPr>
              <w:t>3</w:t>
            </w:r>
          </w:p>
        </w:tc>
        <w:tc>
          <w:tcPr>
            <w:tcW w:w="4111" w:type="dxa"/>
          </w:tcPr>
          <w:p w:rsidR="003C5E31" w:rsidRPr="006C7B0E" w:rsidRDefault="003C5E31" w:rsidP="000E71D1">
            <w:pPr>
              <w:pStyle w:val="NoSpacing"/>
              <w:rPr>
                <w:sz w:val="20"/>
                <w:szCs w:val="20"/>
              </w:rPr>
            </w:pPr>
            <w:r w:rsidRPr="006C7B0E">
              <w:rPr>
                <w:sz w:val="20"/>
                <w:szCs w:val="20"/>
              </w:rPr>
              <w:t xml:space="preserve">Parliament House  </w:t>
            </w:r>
          </w:p>
        </w:tc>
      </w:tr>
      <w:tr w:rsidR="006C7B0E" w:rsidRPr="006C7B0E" w:rsidTr="006C7B0E">
        <w:tc>
          <w:tcPr>
            <w:tcW w:w="1809" w:type="dxa"/>
          </w:tcPr>
          <w:p w:rsidR="003C5E31" w:rsidRPr="006C7B0E" w:rsidRDefault="003C5E31" w:rsidP="000E71D1">
            <w:pPr>
              <w:pStyle w:val="NoSpacing"/>
              <w:rPr>
                <w:sz w:val="20"/>
                <w:szCs w:val="20"/>
              </w:rPr>
            </w:pPr>
          </w:p>
        </w:tc>
        <w:tc>
          <w:tcPr>
            <w:tcW w:w="1225" w:type="dxa"/>
          </w:tcPr>
          <w:p w:rsidR="003C5E31" w:rsidRPr="006C7B0E" w:rsidRDefault="006335F4" w:rsidP="000E71D1">
            <w:pPr>
              <w:pStyle w:val="NoSpacing"/>
              <w:jc w:val="center"/>
              <w:rPr>
                <w:sz w:val="20"/>
                <w:szCs w:val="20"/>
              </w:rPr>
            </w:pPr>
            <w:r w:rsidRPr="006C7B0E">
              <w:rPr>
                <w:sz w:val="20"/>
                <w:szCs w:val="20"/>
              </w:rPr>
              <w:t>11</w:t>
            </w:r>
          </w:p>
        </w:tc>
        <w:tc>
          <w:tcPr>
            <w:tcW w:w="1315" w:type="dxa"/>
          </w:tcPr>
          <w:p w:rsidR="003C5E31" w:rsidRPr="006C7B0E" w:rsidRDefault="006335F4" w:rsidP="000E71D1">
            <w:pPr>
              <w:pStyle w:val="NoSpacing"/>
              <w:jc w:val="center"/>
              <w:rPr>
                <w:sz w:val="20"/>
                <w:szCs w:val="20"/>
              </w:rPr>
            </w:pPr>
            <w:r w:rsidRPr="006C7B0E">
              <w:rPr>
                <w:sz w:val="20"/>
                <w:szCs w:val="20"/>
              </w:rPr>
              <w:t>20</w:t>
            </w:r>
          </w:p>
        </w:tc>
        <w:tc>
          <w:tcPr>
            <w:tcW w:w="1429" w:type="dxa"/>
          </w:tcPr>
          <w:p w:rsidR="003C5E31" w:rsidRPr="006C7B0E" w:rsidRDefault="003C5E31" w:rsidP="000E71D1">
            <w:pPr>
              <w:pStyle w:val="NoSpacing"/>
              <w:jc w:val="center"/>
              <w:rPr>
                <w:sz w:val="20"/>
                <w:szCs w:val="20"/>
              </w:rPr>
            </w:pPr>
            <w:r w:rsidRPr="006C7B0E">
              <w:rPr>
                <w:sz w:val="20"/>
                <w:szCs w:val="20"/>
              </w:rPr>
              <w:t>29</w:t>
            </w:r>
          </w:p>
        </w:tc>
        <w:tc>
          <w:tcPr>
            <w:tcW w:w="4111" w:type="dxa"/>
          </w:tcPr>
          <w:p w:rsidR="003C5E31" w:rsidRPr="006C7B0E" w:rsidRDefault="003C5E31" w:rsidP="000E71D1">
            <w:pPr>
              <w:pStyle w:val="NoSpacing"/>
              <w:rPr>
                <w:sz w:val="20"/>
                <w:szCs w:val="20"/>
              </w:rPr>
            </w:pPr>
          </w:p>
        </w:tc>
      </w:tr>
    </w:tbl>
    <w:p w:rsidR="00F864CA" w:rsidRDefault="00F864CA" w:rsidP="00D7229A">
      <w:pPr>
        <w:pStyle w:val="NoSpacing"/>
      </w:pPr>
    </w:p>
    <w:p w:rsidR="003A70BD" w:rsidRDefault="00EE1357" w:rsidP="00D7229A">
      <w:pPr>
        <w:pStyle w:val="NoSpacing"/>
      </w:pPr>
      <w:r>
        <w:t>In terms of location t</w:t>
      </w:r>
      <w:r w:rsidR="00BB6DD8">
        <w:t>he operational preference is to</w:t>
      </w:r>
      <w:r w:rsidR="003A70BD">
        <w:t xml:space="preserve"> u</w:t>
      </w:r>
      <w:r w:rsidR="00BB6DD8">
        <w:t xml:space="preserve">se </w:t>
      </w:r>
      <w:r w:rsidR="00F755B5">
        <w:t>court</w:t>
      </w:r>
      <w:r w:rsidR="00E05686">
        <w:t xml:space="preserve"> venues so that the courts</w:t>
      </w:r>
      <w:r w:rsidR="00BB6DD8">
        <w:t xml:space="preserve"> </w:t>
      </w:r>
      <w:r w:rsidR="00151892">
        <w:t xml:space="preserve">can </w:t>
      </w:r>
      <w:r w:rsidR="00BB6DD8">
        <w:t xml:space="preserve">have assurance </w:t>
      </w:r>
      <w:r w:rsidR="003A70BD">
        <w:t>over</w:t>
      </w:r>
      <w:r w:rsidR="00BB6DD8">
        <w:t xml:space="preserve"> the suitability of the waiting room and hearing room used</w:t>
      </w:r>
      <w:r>
        <w:t>, along with</w:t>
      </w:r>
      <w:r w:rsidR="00BB6DD8">
        <w:t xml:space="preserve"> the wider</w:t>
      </w:r>
      <w:r w:rsidR="003A70BD">
        <w:t xml:space="preserve"> ability to maintain safety and security </w:t>
      </w:r>
      <w:r w:rsidR="00BB6DD8">
        <w:t xml:space="preserve">at a reasonable level throughout a court </w:t>
      </w:r>
      <w:r>
        <w:t>building.  If</w:t>
      </w:r>
      <w:r w:rsidR="00BB6DD8">
        <w:t xml:space="preserve"> a non court venue is proposed </w:t>
      </w:r>
      <w:r w:rsidR="00151892">
        <w:t xml:space="preserve">by the party citing the witness then </w:t>
      </w:r>
      <w:r w:rsidR="00BB6DD8">
        <w:t xml:space="preserve">the court will need </w:t>
      </w:r>
      <w:r w:rsidR="008C0A32">
        <w:t xml:space="preserve">to be </w:t>
      </w:r>
      <w:r>
        <w:t>assur</w:t>
      </w:r>
      <w:r w:rsidR="008C0A32">
        <w:t>ed</w:t>
      </w:r>
      <w:r>
        <w:t xml:space="preserve"> that: th</w:t>
      </w:r>
      <w:r w:rsidR="00BB6DD8">
        <w:t xml:space="preserve">e </w:t>
      </w:r>
      <w:r>
        <w:t>venue is</w:t>
      </w:r>
      <w:r w:rsidR="00151892">
        <w:t xml:space="preserve"> fit for purpose</w:t>
      </w:r>
      <w:r>
        <w:t>,</w:t>
      </w:r>
      <w:r w:rsidR="00BB6DD8">
        <w:t xml:space="preserve"> that all participants can be kept safe and secure</w:t>
      </w:r>
      <w:r>
        <w:t>, and that it can reduce trauma for that witness</w:t>
      </w:r>
      <w:r w:rsidR="00BB6DD8">
        <w:t>.</w:t>
      </w:r>
      <w:r w:rsidR="003A70BD">
        <w:t xml:space="preserve"> </w:t>
      </w:r>
    </w:p>
    <w:p w:rsidR="00401C8A" w:rsidRDefault="00401C8A" w:rsidP="00D7229A">
      <w:pPr>
        <w:pStyle w:val="NoSpacing"/>
      </w:pPr>
    </w:p>
    <w:p w:rsidR="0042594B" w:rsidRDefault="0042594B" w:rsidP="00D7229A">
      <w:pPr>
        <w:pStyle w:val="NoSpacing"/>
      </w:pPr>
    </w:p>
    <w:p w:rsidR="009D1C45" w:rsidRDefault="009D1C45" w:rsidP="009D1C45">
      <w:pPr>
        <w:pStyle w:val="NoSpacing"/>
        <w:pBdr>
          <w:top w:val="single" w:sz="4" w:space="1" w:color="auto"/>
        </w:pBdr>
      </w:pPr>
    </w:p>
    <w:p w:rsidR="00D7229A" w:rsidRPr="009C06C2" w:rsidRDefault="009C06C2" w:rsidP="00D7229A">
      <w:pPr>
        <w:pStyle w:val="NoSpacing"/>
        <w:rPr>
          <w:i/>
          <w:color w:val="365F91" w:themeColor="accent1" w:themeShade="BF"/>
        </w:rPr>
      </w:pPr>
      <w:r w:rsidRPr="009C06C2">
        <w:rPr>
          <w:i/>
          <w:color w:val="365F91" w:themeColor="accent1" w:themeShade="BF"/>
        </w:rPr>
        <w:t xml:space="preserve">STAGE 4 - </w:t>
      </w:r>
      <w:r w:rsidR="00D7229A" w:rsidRPr="009C06C2">
        <w:rPr>
          <w:i/>
          <w:color w:val="365F91" w:themeColor="accent1" w:themeShade="BF"/>
        </w:rPr>
        <w:t>RECORDING PLAYED</w:t>
      </w:r>
    </w:p>
    <w:p w:rsidR="005E4165" w:rsidRDefault="005E4165" w:rsidP="00D7229A">
      <w:pPr>
        <w:pStyle w:val="NoSpacing"/>
        <w:rPr>
          <w:b/>
        </w:rPr>
      </w:pPr>
    </w:p>
    <w:p w:rsidR="005E4165" w:rsidRDefault="00F23E01" w:rsidP="005E4165">
      <w:pPr>
        <w:pStyle w:val="NoSpacing"/>
      </w:pPr>
      <w:r>
        <w:t>For</w:t>
      </w:r>
      <w:r w:rsidR="005E4165">
        <w:t xml:space="preserve"> the 29 </w:t>
      </w:r>
      <w:r w:rsidR="005E4165" w:rsidRPr="005E4165">
        <w:t>commission hearing</w:t>
      </w:r>
      <w:r w:rsidR="005E4165">
        <w:t xml:space="preserve">s </w:t>
      </w:r>
      <w:r w:rsidR="00921C01">
        <w:t>where</w:t>
      </w:r>
      <w:r w:rsidR="005E4165">
        <w:t xml:space="preserve"> </w:t>
      </w:r>
      <w:r>
        <w:t>a recording</w:t>
      </w:r>
      <w:r w:rsidR="005E4165">
        <w:t xml:space="preserve"> </w:t>
      </w:r>
      <w:r>
        <w:t>was</w:t>
      </w:r>
      <w:r w:rsidR="00921C01">
        <w:t xml:space="preserve"> </w:t>
      </w:r>
      <w:r w:rsidR="005E4165">
        <w:t>made</w:t>
      </w:r>
      <w:r w:rsidR="005E4165" w:rsidRPr="005E4165">
        <w:t xml:space="preserve"> in 2017:</w:t>
      </w:r>
    </w:p>
    <w:p w:rsidR="00A7436D" w:rsidRDefault="00A7436D" w:rsidP="005E4165">
      <w:pPr>
        <w:pStyle w:val="NoSpacing"/>
      </w:pPr>
    </w:p>
    <w:p w:rsidR="009D15AE" w:rsidRDefault="009D15AE" w:rsidP="009D15AE">
      <w:pPr>
        <w:pStyle w:val="NoSpacing"/>
        <w:numPr>
          <w:ilvl w:val="0"/>
          <w:numId w:val="7"/>
        </w:numPr>
      </w:pPr>
      <w:r>
        <w:t>25</w:t>
      </w:r>
      <w:r w:rsidRPr="005E4165">
        <w:t xml:space="preserve"> </w:t>
      </w:r>
      <w:r>
        <w:t>of those recordings did go on to be played at a relevant trial diet</w:t>
      </w:r>
      <w:r w:rsidR="00A7436D">
        <w:t>; and</w:t>
      </w:r>
    </w:p>
    <w:p w:rsidR="00A7436D" w:rsidRPr="005E4165" w:rsidRDefault="00A7436D" w:rsidP="00A7436D">
      <w:pPr>
        <w:pStyle w:val="NoSpacing"/>
        <w:ind w:left="720"/>
      </w:pPr>
    </w:p>
    <w:p w:rsidR="00A7436D" w:rsidRPr="005E4165" w:rsidRDefault="00A7436D" w:rsidP="00A7436D">
      <w:pPr>
        <w:pStyle w:val="NoSpacing"/>
        <w:numPr>
          <w:ilvl w:val="0"/>
          <w:numId w:val="7"/>
        </w:numPr>
      </w:pPr>
      <w:r w:rsidRPr="005E4165">
        <w:t xml:space="preserve">4 </w:t>
      </w:r>
      <w:r>
        <w:t>of those recordings were not used</w:t>
      </w:r>
      <w:r w:rsidRPr="005E4165">
        <w:t xml:space="preserve"> </w:t>
      </w:r>
      <w:r>
        <w:t xml:space="preserve">at trial </w:t>
      </w:r>
      <w:r w:rsidRPr="005E4165">
        <w:t>for the following reasons:</w:t>
      </w:r>
    </w:p>
    <w:p w:rsidR="00A7436D" w:rsidRPr="00921C01" w:rsidRDefault="00A7436D" w:rsidP="00A7436D">
      <w:pPr>
        <w:pStyle w:val="NoSpacing"/>
        <w:numPr>
          <w:ilvl w:val="1"/>
          <w:numId w:val="7"/>
        </w:numPr>
        <w:rPr>
          <w:i/>
          <w:iCs/>
        </w:rPr>
      </w:pPr>
      <w:r>
        <w:rPr>
          <w:i/>
          <w:iCs/>
        </w:rPr>
        <w:t xml:space="preserve">For </w:t>
      </w:r>
      <w:r w:rsidRPr="00921C01">
        <w:rPr>
          <w:i/>
          <w:iCs/>
        </w:rPr>
        <w:t xml:space="preserve">1 case (2%) </w:t>
      </w:r>
      <w:r>
        <w:rPr>
          <w:i/>
          <w:iCs/>
        </w:rPr>
        <w:t>–</w:t>
      </w:r>
      <w:r w:rsidRPr="00921C01">
        <w:rPr>
          <w:i/>
          <w:iCs/>
        </w:rPr>
        <w:t xml:space="preserve"> </w:t>
      </w:r>
      <w:r>
        <w:rPr>
          <w:i/>
          <w:iCs/>
        </w:rPr>
        <w:t xml:space="preserve">a </w:t>
      </w:r>
      <w:r w:rsidRPr="00921C01">
        <w:rPr>
          <w:i/>
          <w:iCs/>
        </w:rPr>
        <w:t xml:space="preserve">guilty plea </w:t>
      </w:r>
      <w:r>
        <w:rPr>
          <w:i/>
          <w:iCs/>
        </w:rPr>
        <w:t xml:space="preserve">was </w:t>
      </w:r>
      <w:r w:rsidRPr="00921C01">
        <w:rPr>
          <w:i/>
          <w:iCs/>
        </w:rPr>
        <w:t>tendered (at trial )</w:t>
      </w:r>
    </w:p>
    <w:p w:rsidR="00A7436D" w:rsidRPr="00921C01" w:rsidRDefault="00A7436D" w:rsidP="00A7436D">
      <w:pPr>
        <w:pStyle w:val="NoSpacing"/>
        <w:numPr>
          <w:ilvl w:val="1"/>
          <w:numId w:val="7"/>
        </w:numPr>
      </w:pPr>
      <w:r>
        <w:rPr>
          <w:i/>
          <w:iCs/>
        </w:rPr>
        <w:t xml:space="preserve">For </w:t>
      </w:r>
      <w:r w:rsidRPr="00921C01">
        <w:rPr>
          <w:i/>
          <w:iCs/>
        </w:rPr>
        <w:t xml:space="preserve">3 cases (6%) </w:t>
      </w:r>
      <w:r>
        <w:rPr>
          <w:i/>
          <w:iCs/>
        </w:rPr>
        <w:t>–</w:t>
      </w:r>
      <w:r w:rsidRPr="00921C01">
        <w:rPr>
          <w:i/>
          <w:iCs/>
        </w:rPr>
        <w:t xml:space="preserve"> </w:t>
      </w:r>
      <w:r>
        <w:rPr>
          <w:i/>
          <w:iCs/>
        </w:rPr>
        <w:t xml:space="preserve">the </w:t>
      </w:r>
      <w:r w:rsidRPr="00921C01">
        <w:rPr>
          <w:i/>
          <w:iCs/>
        </w:rPr>
        <w:t>crown did not proceed with charge / case</w:t>
      </w:r>
    </w:p>
    <w:p w:rsidR="00A7436D" w:rsidRDefault="00A7436D" w:rsidP="00A7436D">
      <w:pPr>
        <w:pStyle w:val="NoSpacing"/>
        <w:rPr>
          <w:i/>
          <w:iCs/>
        </w:rPr>
      </w:pPr>
    </w:p>
    <w:p w:rsidR="005273ED" w:rsidRDefault="005273ED" w:rsidP="00921C01">
      <w:pPr>
        <w:pStyle w:val="NoSpacing"/>
        <w:rPr>
          <w:i/>
          <w:iCs/>
        </w:rPr>
      </w:pPr>
    </w:p>
    <w:p w:rsidR="005273ED" w:rsidRDefault="005273ED" w:rsidP="009D1C45">
      <w:pPr>
        <w:pStyle w:val="NoSpacing"/>
        <w:pBdr>
          <w:top w:val="single" w:sz="4" w:space="1" w:color="auto"/>
        </w:pBdr>
        <w:rPr>
          <w:i/>
          <w:iCs/>
        </w:rPr>
      </w:pPr>
    </w:p>
    <w:p w:rsidR="009D15AE" w:rsidRDefault="009D15AE">
      <w:pPr>
        <w:spacing w:after="0" w:line="240" w:lineRule="auto"/>
        <w:rPr>
          <w:b/>
          <w:iCs/>
          <w:color w:val="365F91" w:themeColor="accent1" w:themeShade="BF"/>
          <w:lang w:eastAsia="en-US"/>
        </w:rPr>
      </w:pPr>
      <w:r>
        <w:rPr>
          <w:b/>
          <w:iCs/>
          <w:color w:val="365F91" w:themeColor="accent1" w:themeShade="BF"/>
        </w:rPr>
        <w:br w:type="page"/>
      </w:r>
    </w:p>
    <w:p w:rsidR="00E05686" w:rsidRDefault="00E05686" w:rsidP="00921C01">
      <w:pPr>
        <w:pStyle w:val="NoSpacing"/>
        <w:rPr>
          <w:b/>
          <w:iCs/>
          <w:color w:val="365F91" w:themeColor="accent1" w:themeShade="BF"/>
        </w:rPr>
      </w:pPr>
    </w:p>
    <w:p w:rsidR="00E05686" w:rsidRDefault="00E05686" w:rsidP="00921C01">
      <w:pPr>
        <w:pStyle w:val="NoSpacing"/>
        <w:rPr>
          <w:b/>
          <w:iCs/>
          <w:color w:val="365F91" w:themeColor="accent1" w:themeShade="BF"/>
        </w:rPr>
      </w:pPr>
    </w:p>
    <w:p w:rsidR="00B71018" w:rsidRPr="008E46B3" w:rsidRDefault="008E46B3" w:rsidP="00921C01">
      <w:pPr>
        <w:pStyle w:val="NoSpacing"/>
        <w:rPr>
          <w:b/>
          <w:iCs/>
          <w:color w:val="365F91" w:themeColor="accent1" w:themeShade="BF"/>
        </w:rPr>
      </w:pPr>
      <w:r>
        <w:rPr>
          <w:b/>
          <w:iCs/>
          <w:color w:val="365F91" w:themeColor="accent1" w:themeShade="BF"/>
        </w:rPr>
        <w:t xml:space="preserve">PART 3 – QUANTIFYING </w:t>
      </w:r>
      <w:r w:rsidRPr="008E46B3">
        <w:rPr>
          <w:b/>
          <w:iCs/>
          <w:color w:val="365F91" w:themeColor="accent1" w:themeShade="BF"/>
        </w:rPr>
        <w:t xml:space="preserve">THE </w:t>
      </w:r>
      <w:r w:rsidR="005273ED" w:rsidRPr="008E46B3">
        <w:rPr>
          <w:b/>
          <w:iCs/>
          <w:color w:val="365F91" w:themeColor="accent1" w:themeShade="BF"/>
        </w:rPr>
        <w:t>BENEFITS REALISED</w:t>
      </w:r>
    </w:p>
    <w:p w:rsidR="00921C01" w:rsidRDefault="00921C01" w:rsidP="00921C01">
      <w:pPr>
        <w:pStyle w:val="NoSpacing"/>
        <w:rPr>
          <w:i/>
          <w:iCs/>
        </w:rPr>
      </w:pPr>
    </w:p>
    <w:p w:rsidR="007F4556" w:rsidRDefault="008B77A0" w:rsidP="00921C01">
      <w:pPr>
        <w:pStyle w:val="NoSpacing"/>
        <w:rPr>
          <w:iCs/>
        </w:rPr>
      </w:pPr>
      <w:r>
        <w:rPr>
          <w:iCs/>
        </w:rPr>
        <w:t>A key benefit</w:t>
      </w:r>
      <w:r w:rsidR="005273ED">
        <w:rPr>
          <w:iCs/>
        </w:rPr>
        <w:t xml:space="preserve"> </w:t>
      </w:r>
      <w:r w:rsidR="00EB5463">
        <w:rPr>
          <w:iCs/>
        </w:rPr>
        <w:t>arising from the greater use of pre-recorded</w:t>
      </w:r>
      <w:r w:rsidR="005273ED">
        <w:rPr>
          <w:iCs/>
        </w:rPr>
        <w:t xml:space="preserve"> evidence is the ability for witnesses to conclude their involvement with the criminal justice system earlier than would otherwise be the case.</w:t>
      </w:r>
      <w:r>
        <w:rPr>
          <w:iCs/>
        </w:rPr>
        <w:t xml:space="preserve">  The 25 witnesses that </w:t>
      </w:r>
      <w:r w:rsidR="00306F4A">
        <w:rPr>
          <w:iCs/>
        </w:rPr>
        <w:t>did have</w:t>
      </w:r>
      <w:r w:rsidR="007F4556">
        <w:rPr>
          <w:iCs/>
        </w:rPr>
        <w:t xml:space="preserve"> the</w:t>
      </w:r>
      <w:r w:rsidR="00E06910">
        <w:rPr>
          <w:iCs/>
        </w:rPr>
        <w:t>i</w:t>
      </w:r>
      <w:r w:rsidR="007F4556">
        <w:rPr>
          <w:iCs/>
        </w:rPr>
        <w:t>r</w:t>
      </w:r>
      <w:r>
        <w:rPr>
          <w:iCs/>
        </w:rPr>
        <w:t xml:space="preserve"> pre-recorded </w:t>
      </w:r>
      <w:r w:rsidR="00EB5463">
        <w:rPr>
          <w:iCs/>
        </w:rPr>
        <w:t>evidence played at trial</w:t>
      </w:r>
      <w:r>
        <w:rPr>
          <w:iCs/>
        </w:rPr>
        <w:t xml:space="preserve"> were able to conclude their involvement an average of</w:t>
      </w:r>
      <w:r w:rsidR="00640E63">
        <w:rPr>
          <w:iCs/>
        </w:rPr>
        <w:t xml:space="preserve"> 57</w:t>
      </w:r>
      <w:r w:rsidR="00947565">
        <w:rPr>
          <w:iCs/>
        </w:rPr>
        <w:t xml:space="preserve"> days (8 weeks) before tr</w:t>
      </w:r>
      <w:r w:rsidR="007F4556">
        <w:rPr>
          <w:iCs/>
        </w:rPr>
        <w:t>i</w:t>
      </w:r>
      <w:r w:rsidR="00947565">
        <w:rPr>
          <w:iCs/>
        </w:rPr>
        <w:t>a</w:t>
      </w:r>
      <w:r w:rsidR="007F4556">
        <w:rPr>
          <w:iCs/>
        </w:rPr>
        <w:t>l.</w:t>
      </w:r>
    </w:p>
    <w:p w:rsidR="007F4556" w:rsidRDefault="007F4556" w:rsidP="00921C01">
      <w:pPr>
        <w:pStyle w:val="NoSpacing"/>
        <w:rPr>
          <w:iCs/>
        </w:rPr>
      </w:pPr>
    </w:p>
    <w:p w:rsidR="008B77A0" w:rsidRPr="005273ED" w:rsidRDefault="00F23E01" w:rsidP="00921C01">
      <w:pPr>
        <w:pStyle w:val="NoSpacing"/>
        <w:rPr>
          <w:iCs/>
        </w:rPr>
      </w:pPr>
      <w:r>
        <w:rPr>
          <w:iCs/>
        </w:rPr>
        <w:t>For each individual witness t</w:t>
      </w:r>
      <w:r w:rsidR="007F4556">
        <w:rPr>
          <w:iCs/>
        </w:rPr>
        <w:t xml:space="preserve">hat reduced involvement </w:t>
      </w:r>
      <w:r w:rsidR="008B77A0">
        <w:rPr>
          <w:iCs/>
        </w:rPr>
        <w:t>varied</w:t>
      </w:r>
      <w:r w:rsidR="00E06910">
        <w:rPr>
          <w:iCs/>
        </w:rPr>
        <w:t xml:space="preserve"> </w:t>
      </w:r>
      <w:r w:rsidR="007F4556">
        <w:rPr>
          <w:iCs/>
        </w:rPr>
        <w:t>across a range</w:t>
      </w:r>
      <w:r w:rsidR="008B77A0">
        <w:rPr>
          <w:iCs/>
        </w:rPr>
        <w:t>:</w:t>
      </w:r>
    </w:p>
    <w:p w:rsidR="008B77A0" w:rsidRPr="0083782B" w:rsidRDefault="008B77A0" w:rsidP="008B77A0">
      <w:pPr>
        <w:pStyle w:val="NoSpacing"/>
        <w:numPr>
          <w:ilvl w:val="1"/>
          <w:numId w:val="4"/>
        </w:numPr>
        <w:rPr>
          <w:i/>
        </w:rPr>
      </w:pPr>
      <w:r>
        <w:t>From a</w:t>
      </w:r>
      <w:r w:rsidRPr="0083782B">
        <w:t xml:space="preserve"> min</w:t>
      </w:r>
      <w:r w:rsidR="00640E63">
        <w:t>imum of 18</w:t>
      </w:r>
      <w:r>
        <w:t xml:space="preserve"> days </w:t>
      </w:r>
      <w:r w:rsidRPr="008B77A0">
        <w:rPr>
          <w:i/>
        </w:rPr>
        <w:t>(2 weeks);</w:t>
      </w:r>
      <w:r>
        <w:t xml:space="preserve"> </w:t>
      </w:r>
    </w:p>
    <w:p w:rsidR="008B77A0" w:rsidRPr="00E06910" w:rsidRDefault="00640E63" w:rsidP="008B77A0">
      <w:pPr>
        <w:pStyle w:val="NoSpacing"/>
        <w:numPr>
          <w:ilvl w:val="1"/>
          <w:numId w:val="4"/>
        </w:numPr>
      </w:pPr>
      <w:r>
        <w:t>To a maximum of 117</w:t>
      </w:r>
      <w:r w:rsidR="008B77A0">
        <w:t xml:space="preserve"> days </w:t>
      </w:r>
      <w:r>
        <w:rPr>
          <w:i/>
        </w:rPr>
        <w:t>(16</w:t>
      </w:r>
      <w:r w:rsidR="008B77A0" w:rsidRPr="008B77A0">
        <w:rPr>
          <w:i/>
        </w:rPr>
        <w:t xml:space="preserve"> weeks).</w:t>
      </w:r>
    </w:p>
    <w:p w:rsidR="00E06910" w:rsidRDefault="00E06910" w:rsidP="00E06910">
      <w:pPr>
        <w:pStyle w:val="NoSpacing"/>
        <w:ind w:left="1500"/>
      </w:pPr>
    </w:p>
    <w:p w:rsidR="00931136" w:rsidRDefault="00D94453" w:rsidP="00931136">
      <w:pPr>
        <w:pStyle w:val="NoSpacing"/>
      </w:pPr>
      <w:r w:rsidRPr="00D94453">
        <w:rPr>
          <w:noProof/>
          <w:lang w:eastAsia="en-GB"/>
        </w:rPr>
        <w:drawing>
          <wp:inline distT="0" distB="0" distL="0" distR="0" wp14:anchorId="4918F0A3" wp14:editId="5CD4721B">
            <wp:extent cx="6363611"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5215" cy="4306385"/>
                    </a:xfrm>
                    <a:prstGeom prst="rect">
                      <a:avLst/>
                    </a:prstGeom>
                    <a:noFill/>
                    <a:ln>
                      <a:noFill/>
                    </a:ln>
                  </pic:spPr>
                </pic:pic>
              </a:graphicData>
            </a:graphic>
          </wp:inline>
        </w:drawing>
      </w:r>
    </w:p>
    <w:p w:rsidR="00931136" w:rsidRDefault="00931136" w:rsidP="00E06910">
      <w:pPr>
        <w:pStyle w:val="NoSpacing"/>
        <w:ind w:left="1500"/>
      </w:pPr>
    </w:p>
    <w:p w:rsidR="005273ED" w:rsidRDefault="005273ED" w:rsidP="009D1C45">
      <w:pPr>
        <w:pStyle w:val="NoSpacing"/>
        <w:pBdr>
          <w:top w:val="single" w:sz="4" w:space="1" w:color="auto"/>
        </w:pBdr>
        <w:rPr>
          <w:i/>
          <w:iCs/>
        </w:rPr>
      </w:pPr>
    </w:p>
    <w:p w:rsidR="006449BC" w:rsidRDefault="006449BC">
      <w:pPr>
        <w:spacing w:after="0" w:line="240" w:lineRule="auto"/>
        <w:rPr>
          <w:i/>
          <w:iCs/>
          <w:lang w:eastAsia="en-US"/>
        </w:rPr>
      </w:pPr>
    </w:p>
    <w:p w:rsidR="00A457F5" w:rsidRDefault="00A457F5" w:rsidP="005A2AAC">
      <w:pPr>
        <w:pStyle w:val="NoSpacing"/>
        <w:rPr>
          <w:b/>
          <w:color w:val="365F91" w:themeColor="accent1" w:themeShade="BF"/>
        </w:rPr>
      </w:pPr>
    </w:p>
    <w:p w:rsidR="00E05686" w:rsidRDefault="00E05686">
      <w:pPr>
        <w:spacing w:after="0" w:line="240" w:lineRule="auto"/>
        <w:rPr>
          <w:b/>
          <w:color w:val="365F91" w:themeColor="accent1" w:themeShade="BF"/>
          <w:lang w:eastAsia="en-US"/>
        </w:rPr>
      </w:pPr>
      <w:r>
        <w:rPr>
          <w:b/>
          <w:color w:val="365F91" w:themeColor="accent1" w:themeShade="BF"/>
        </w:rPr>
        <w:br w:type="page"/>
      </w:r>
    </w:p>
    <w:p w:rsidR="007128EA" w:rsidRDefault="007128EA" w:rsidP="005A2AAC">
      <w:pPr>
        <w:pStyle w:val="NoSpacing"/>
        <w:rPr>
          <w:b/>
          <w:color w:val="365F91" w:themeColor="accent1" w:themeShade="BF"/>
        </w:rPr>
      </w:pPr>
    </w:p>
    <w:p w:rsidR="005A2AAC" w:rsidRPr="005A2AAC" w:rsidRDefault="005A2AAC" w:rsidP="005A2AAC">
      <w:pPr>
        <w:pStyle w:val="NoSpacing"/>
        <w:rPr>
          <w:b/>
          <w:color w:val="365F91" w:themeColor="accent1" w:themeShade="BF"/>
        </w:rPr>
      </w:pPr>
      <w:r w:rsidRPr="005A2AAC">
        <w:rPr>
          <w:b/>
          <w:color w:val="365F91" w:themeColor="accent1" w:themeShade="BF"/>
        </w:rPr>
        <w:t xml:space="preserve">APPENDIX </w:t>
      </w:r>
      <w:r w:rsidR="0023209C">
        <w:rPr>
          <w:b/>
          <w:color w:val="365F91" w:themeColor="accent1" w:themeShade="BF"/>
        </w:rPr>
        <w:t>1</w:t>
      </w:r>
      <w:r w:rsidRPr="005A2AAC">
        <w:rPr>
          <w:b/>
          <w:color w:val="365F91" w:themeColor="accent1" w:themeShade="BF"/>
        </w:rPr>
        <w:t xml:space="preserve"> – THE PRACTICE NOTE </w:t>
      </w:r>
    </w:p>
    <w:p w:rsidR="005A2AAC" w:rsidRDefault="005A2AAC" w:rsidP="005A2AAC">
      <w:pPr>
        <w:pStyle w:val="NoSpacing"/>
        <w:rPr>
          <w:b/>
        </w:rPr>
      </w:pPr>
    </w:p>
    <w:p w:rsidR="005A2AAC" w:rsidRDefault="005A2AAC" w:rsidP="005A2AAC">
      <w:pPr>
        <w:pStyle w:val="NoSpacing"/>
        <w:rPr>
          <w:b/>
        </w:rPr>
      </w:pPr>
    </w:p>
    <w:p w:rsidR="005A2AAC" w:rsidRPr="00F4721A" w:rsidRDefault="005A2AAC" w:rsidP="005A2AAC">
      <w:pPr>
        <w:pStyle w:val="NoSpacing"/>
        <w:rPr>
          <w:b/>
        </w:rPr>
      </w:pPr>
    </w:p>
    <w:p w:rsidR="005A2AAC" w:rsidRPr="00346C89" w:rsidRDefault="005A2AAC" w:rsidP="005A2AAC">
      <w:pPr>
        <w:keepNext/>
        <w:spacing w:before="240" w:after="60" w:line="240" w:lineRule="auto"/>
        <w:ind w:left="2492" w:right="2489"/>
        <w:jc w:val="center"/>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HIGH COURT OF JUSTICIARY PRACTICE NOTE</w:t>
      </w:r>
    </w:p>
    <w:p w:rsidR="005A2AAC" w:rsidRPr="00346C89" w:rsidRDefault="005A2AAC" w:rsidP="005A2AAC">
      <w:pPr>
        <w:widowControl w:val="0"/>
        <w:autoSpaceDE w:val="0"/>
        <w:autoSpaceDN w:val="0"/>
        <w:spacing w:before="1" w:after="0" w:line="240" w:lineRule="auto"/>
        <w:ind w:left="2492" w:right="2488"/>
        <w:jc w:val="center"/>
        <w:rPr>
          <w:rFonts w:ascii="Palatino Linotype" w:eastAsia="Palatino Linotype" w:hAnsi="Palatino Linotype" w:cs="Palatino Linotype"/>
          <w:b/>
          <w:sz w:val="24"/>
          <w:lang w:val="en-US" w:eastAsia="en-US"/>
        </w:rPr>
      </w:pPr>
      <w:r w:rsidRPr="00346C89">
        <w:rPr>
          <w:rFonts w:ascii="Palatino Linotype" w:eastAsia="Palatino Linotype" w:hAnsi="Palatino Linotype" w:cs="Palatino Linotype"/>
          <w:b/>
          <w:sz w:val="24"/>
          <w:lang w:val="en-US" w:eastAsia="en-US"/>
        </w:rPr>
        <w:t>No. 1 of 2017</w:t>
      </w: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b/>
          <w:sz w:val="24"/>
          <w:szCs w:val="24"/>
          <w:lang w:val="en-US" w:eastAsia="en-US"/>
        </w:rPr>
      </w:pPr>
    </w:p>
    <w:p w:rsidR="005A2AAC" w:rsidRPr="00346C89" w:rsidRDefault="005A2AAC" w:rsidP="005A2AAC">
      <w:pPr>
        <w:widowControl w:val="0"/>
        <w:autoSpaceDE w:val="0"/>
        <w:autoSpaceDN w:val="0"/>
        <w:spacing w:after="0" w:line="240" w:lineRule="auto"/>
        <w:ind w:left="794" w:right="794"/>
        <w:jc w:val="center"/>
        <w:rPr>
          <w:rFonts w:ascii="Palatino Linotype" w:eastAsia="Palatino Linotype" w:hAnsi="Palatino Linotype" w:cs="Palatino Linotype"/>
          <w:b/>
          <w:sz w:val="24"/>
          <w:lang w:val="en-US" w:eastAsia="en-US"/>
        </w:rPr>
      </w:pPr>
      <w:r w:rsidRPr="00346C89">
        <w:rPr>
          <w:rFonts w:ascii="Palatino Linotype" w:eastAsia="Palatino Linotype" w:hAnsi="Palatino Linotype" w:cs="Palatino Linotype"/>
          <w:b/>
          <w:sz w:val="24"/>
          <w:lang w:val="en-US" w:eastAsia="en-US"/>
        </w:rPr>
        <w:t>TAKING OF EVIDENCE OF A VULNERABLE WITNESS BY A COMMISSIONER</w:t>
      </w: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b/>
          <w:sz w:val="24"/>
          <w:szCs w:val="24"/>
          <w:lang w:val="en-US" w:eastAsia="en-US"/>
        </w:rPr>
      </w:pPr>
    </w:p>
    <w:p w:rsidR="005A2AAC" w:rsidRPr="00346C89" w:rsidRDefault="005A2AAC" w:rsidP="005A2AAC">
      <w:pPr>
        <w:widowControl w:val="0"/>
        <w:autoSpaceDE w:val="0"/>
        <w:autoSpaceDN w:val="0"/>
        <w:spacing w:after="0" w:line="240" w:lineRule="auto"/>
        <w:ind w:left="120"/>
        <w:rPr>
          <w:rFonts w:ascii="Palatino Linotype" w:eastAsia="Palatino Linotype" w:hAnsi="Palatino Linotype" w:cs="Palatino Linotype"/>
          <w:b/>
          <w:sz w:val="24"/>
          <w:lang w:val="en-US" w:eastAsia="en-US"/>
        </w:rPr>
      </w:pPr>
      <w:r w:rsidRPr="00346C89">
        <w:rPr>
          <w:rFonts w:ascii="Palatino Linotype" w:eastAsia="Palatino Linotype" w:hAnsi="Palatino Linotype" w:cs="Palatino Linotype"/>
          <w:b/>
          <w:sz w:val="24"/>
          <w:lang w:val="en-US" w:eastAsia="en-US"/>
        </w:rPr>
        <w:t>Introduction</w:t>
      </w:r>
    </w:p>
    <w:p w:rsidR="005A2AAC" w:rsidRPr="00346C89" w:rsidRDefault="005A2AAC" w:rsidP="005A2AAC">
      <w:pPr>
        <w:widowControl w:val="0"/>
        <w:autoSpaceDE w:val="0"/>
        <w:autoSpaceDN w:val="0"/>
        <w:spacing w:before="2" w:after="0" w:line="240" w:lineRule="auto"/>
        <w:rPr>
          <w:rFonts w:ascii="Palatino Linotype" w:eastAsia="Palatino Linotype" w:hAnsi="Palatino Linotype" w:cs="Palatino Linotype"/>
          <w:b/>
          <w:sz w:val="24"/>
          <w:szCs w:val="24"/>
          <w:lang w:val="en-US" w:eastAsia="en-US"/>
        </w:rPr>
      </w:pPr>
    </w:p>
    <w:p w:rsidR="005A2AAC" w:rsidRPr="00346C89" w:rsidRDefault="005A2AAC" w:rsidP="005A2AAC">
      <w:pPr>
        <w:widowControl w:val="0"/>
        <w:numPr>
          <w:ilvl w:val="0"/>
          <w:numId w:val="18"/>
        </w:numPr>
        <w:tabs>
          <w:tab w:val="left" w:pos="841"/>
        </w:tabs>
        <w:autoSpaceDE w:val="0"/>
        <w:autoSpaceDN w:val="0"/>
        <w:spacing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This Practice Note has effect from 8 May 2017. It replaces Practice Note No. 3 of</w:t>
      </w:r>
      <w:r w:rsidRPr="00346C89">
        <w:rPr>
          <w:rFonts w:ascii="Palatino Linotype" w:eastAsia="Palatino Linotype" w:hAnsi="Palatino Linotype" w:cs="Palatino Linotype"/>
          <w:spacing w:val="-1"/>
          <w:sz w:val="24"/>
          <w:lang w:val="en-US" w:eastAsia="en-US"/>
        </w:rPr>
        <w:t xml:space="preserve"> </w:t>
      </w:r>
      <w:r w:rsidRPr="00346C89">
        <w:rPr>
          <w:rFonts w:ascii="Palatino Linotype" w:eastAsia="Palatino Linotype" w:hAnsi="Palatino Linotype" w:cs="Palatino Linotype"/>
          <w:sz w:val="24"/>
          <w:lang w:val="en-US" w:eastAsia="en-US"/>
        </w:rPr>
        <w:t>2005.</w:t>
      </w: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5A2AAC" w:rsidRPr="00346C89" w:rsidRDefault="005A2AAC" w:rsidP="005A2AAC">
      <w:pPr>
        <w:widowControl w:val="0"/>
        <w:numPr>
          <w:ilvl w:val="0"/>
          <w:numId w:val="18"/>
        </w:numPr>
        <w:tabs>
          <w:tab w:val="left" w:pos="841"/>
        </w:tabs>
        <w:autoSpaceDE w:val="0"/>
        <w:autoSpaceDN w:val="0"/>
        <w:spacing w:after="0" w:line="240" w:lineRule="auto"/>
        <w:ind w:right="117"/>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Statutory provision for the availability of special measures for vulnerable witnesses has been a feature of the criminal courts for more than a decade. In spite of that, the day to day practical application of these measures can sometimes leave much to be desired. This is particularly the case with the taking of the evidence of a vulnerable witness by a</w:t>
      </w:r>
      <w:r w:rsidRPr="00346C89">
        <w:rPr>
          <w:rFonts w:ascii="Palatino Linotype" w:eastAsia="Palatino Linotype" w:hAnsi="Palatino Linotype" w:cs="Palatino Linotype"/>
          <w:spacing w:val="-6"/>
          <w:sz w:val="24"/>
          <w:lang w:val="en-US" w:eastAsia="en-US"/>
        </w:rPr>
        <w:t xml:space="preserve"> </w:t>
      </w:r>
      <w:r w:rsidRPr="00346C89">
        <w:rPr>
          <w:rFonts w:ascii="Palatino Linotype" w:eastAsia="Palatino Linotype" w:hAnsi="Palatino Linotype" w:cs="Palatino Linotype"/>
          <w:sz w:val="24"/>
          <w:lang w:val="en-US" w:eastAsia="en-US"/>
        </w:rPr>
        <w:t>commissioner.</w:t>
      </w:r>
    </w:p>
    <w:p w:rsidR="005A2AAC" w:rsidRPr="00346C89" w:rsidRDefault="005A2AAC" w:rsidP="005A2AAC">
      <w:pPr>
        <w:widowControl w:val="0"/>
        <w:autoSpaceDE w:val="0"/>
        <w:autoSpaceDN w:val="0"/>
        <w:spacing w:before="13" w:after="0" w:line="240" w:lineRule="auto"/>
        <w:rPr>
          <w:rFonts w:ascii="Palatino Linotype" w:eastAsia="Palatino Linotype" w:hAnsi="Palatino Linotype" w:cs="Palatino Linotype"/>
          <w:sz w:val="23"/>
          <w:szCs w:val="24"/>
          <w:lang w:val="en-US" w:eastAsia="en-US"/>
        </w:rPr>
      </w:pPr>
    </w:p>
    <w:p w:rsidR="005A2AAC" w:rsidRPr="00346C89" w:rsidRDefault="005A2AAC" w:rsidP="005A2AAC">
      <w:pPr>
        <w:widowControl w:val="0"/>
        <w:numPr>
          <w:ilvl w:val="0"/>
          <w:numId w:val="18"/>
        </w:numPr>
        <w:tabs>
          <w:tab w:val="left" w:pos="841"/>
        </w:tabs>
        <w:autoSpaceDE w:val="0"/>
        <w:autoSpaceDN w:val="0"/>
        <w:spacing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most common deficiency in cases where there is a child witness, a deemed vulnerable witness or other vulnerable witness is a failure by the parties (both Crown and defence) to address their minds at a suitably early stage to the question of whether a commission is necessary for that witness. Early conduct of a commission has benefits not only in the earlier capture of the evidence but also in giving more time for addressing issues such as editing and</w:t>
      </w:r>
      <w:r w:rsidRPr="00346C89">
        <w:rPr>
          <w:rFonts w:ascii="Palatino Linotype" w:eastAsia="Palatino Linotype" w:hAnsi="Palatino Linotype" w:cs="Palatino Linotype"/>
          <w:spacing w:val="-21"/>
          <w:sz w:val="24"/>
          <w:lang w:val="en-US" w:eastAsia="en-US"/>
        </w:rPr>
        <w:t xml:space="preserve"> </w:t>
      </w:r>
      <w:r w:rsidRPr="00346C89">
        <w:rPr>
          <w:rFonts w:ascii="Palatino Linotype" w:eastAsia="Palatino Linotype" w:hAnsi="Palatino Linotype" w:cs="Palatino Linotype"/>
          <w:sz w:val="24"/>
          <w:lang w:val="en-US" w:eastAsia="en-US"/>
        </w:rPr>
        <w:t>admissibility.</w:t>
      </w:r>
    </w:p>
    <w:p w:rsidR="005A2AAC" w:rsidRPr="00346C89" w:rsidRDefault="005A2AAC" w:rsidP="005A2AAC">
      <w:pPr>
        <w:widowControl w:val="0"/>
        <w:autoSpaceDE w:val="0"/>
        <w:autoSpaceDN w:val="0"/>
        <w:spacing w:before="7" w:after="0" w:line="240" w:lineRule="auto"/>
        <w:rPr>
          <w:rFonts w:ascii="Palatino Linotype" w:eastAsia="Palatino Linotype" w:hAnsi="Palatino Linotype" w:cs="Palatino Linotype"/>
          <w:sz w:val="23"/>
          <w:szCs w:val="24"/>
          <w:lang w:val="en-US" w:eastAsia="en-US"/>
        </w:rPr>
      </w:pPr>
    </w:p>
    <w:p w:rsidR="005A2AAC" w:rsidRPr="00346C89" w:rsidRDefault="005A2AAC" w:rsidP="005A2AAC">
      <w:pPr>
        <w:widowControl w:val="0"/>
        <w:numPr>
          <w:ilvl w:val="0"/>
          <w:numId w:val="18"/>
        </w:numPr>
        <w:tabs>
          <w:tab w:val="left" w:pos="840"/>
          <w:tab w:val="left" w:pos="841"/>
        </w:tabs>
        <w:autoSpaceDE w:val="0"/>
        <w:autoSpaceDN w:val="0"/>
        <w:spacing w:before="1" w:after="0" w:line="322" w:lineRule="exact"/>
        <w:ind w:left="900" w:right="1388" w:hanging="780"/>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Practitioners can find useful information to bear in mind at: </w:t>
      </w:r>
      <w:hyperlink r:id="rId15">
        <w:r w:rsidRPr="00346C89">
          <w:rPr>
            <w:rFonts w:ascii="Palatino Linotype" w:eastAsia="Palatino Linotype" w:hAnsi="Palatino Linotype" w:cs="Palatino Linotype"/>
            <w:color w:val="0000FF"/>
            <w:sz w:val="24"/>
            <w:u w:val="single" w:color="0000FF"/>
            <w:lang w:val="en-US" w:eastAsia="en-US"/>
          </w:rPr>
          <w:t>http://www.theadvocatesgateway.org/</w:t>
        </w:r>
      </w:hyperlink>
    </w:p>
    <w:p w:rsidR="005A2AAC" w:rsidRPr="00346C89" w:rsidRDefault="005A2AAC" w:rsidP="005A2AAC">
      <w:pPr>
        <w:widowControl w:val="0"/>
        <w:autoSpaceDE w:val="0"/>
        <w:autoSpaceDN w:val="0"/>
        <w:spacing w:before="11" w:after="0" w:line="240" w:lineRule="auto"/>
        <w:rPr>
          <w:rFonts w:ascii="Palatino Linotype" w:eastAsia="Palatino Linotype" w:hAnsi="Palatino Linotype" w:cs="Palatino Linotype"/>
          <w:szCs w:val="24"/>
          <w:lang w:val="en-US" w:eastAsia="en-US"/>
        </w:rPr>
      </w:pPr>
    </w:p>
    <w:p w:rsidR="005A2AAC" w:rsidRPr="00346C89" w:rsidRDefault="005A2AAC" w:rsidP="005A2AAC">
      <w:pPr>
        <w:widowControl w:val="0"/>
        <w:numPr>
          <w:ilvl w:val="0"/>
          <w:numId w:val="18"/>
        </w:numPr>
        <w:tabs>
          <w:tab w:val="left" w:pos="840"/>
          <w:tab w:val="left" w:pos="841"/>
        </w:tabs>
        <w:autoSpaceDE w:val="0"/>
        <w:autoSpaceDN w:val="0"/>
        <w:spacing w:before="24"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purpose of this Practice Note therefore is to give guidance as</w:t>
      </w:r>
      <w:r w:rsidRPr="00346C89">
        <w:rPr>
          <w:rFonts w:ascii="Palatino Linotype" w:eastAsia="Palatino Linotype" w:hAnsi="Palatino Linotype" w:cs="Palatino Linotype"/>
          <w:spacing w:val="-18"/>
          <w:sz w:val="24"/>
          <w:lang w:val="en-US" w:eastAsia="en-US"/>
        </w:rPr>
        <w:t xml:space="preserve"> </w:t>
      </w:r>
      <w:r w:rsidRPr="00346C89">
        <w:rPr>
          <w:rFonts w:ascii="Palatino Linotype" w:eastAsia="Palatino Linotype" w:hAnsi="Palatino Linotype" w:cs="Palatino Linotype"/>
          <w:sz w:val="24"/>
          <w:lang w:val="en-US" w:eastAsia="en-US"/>
        </w:rPr>
        <w:t>to—</w:t>
      </w: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5A2AAC" w:rsidRPr="00346C89" w:rsidRDefault="005A2AAC" w:rsidP="005A2AAC">
      <w:pPr>
        <w:widowControl w:val="0"/>
        <w:numPr>
          <w:ilvl w:val="1"/>
          <w:numId w:val="18"/>
        </w:numPr>
        <w:tabs>
          <w:tab w:val="left" w:pos="1561"/>
        </w:tabs>
        <w:autoSpaceDE w:val="0"/>
        <w:autoSpaceDN w:val="0"/>
        <w:spacing w:after="0" w:line="240" w:lineRule="auto"/>
        <w:ind w:right="121"/>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when practitioners should consider whether a commission is required;</w:t>
      </w:r>
    </w:p>
    <w:p w:rsidR="005A2AAC" w:rsidRPr="00346C89" w:rsidRDefault="005A2AAC" w:rsidP="005A2AAC">
      <w:pPr>
        <w:widowControl w:val="0"/>
        <w:numPr>
          <w:ilvl w:val="1"/>
          <w:numId w:val="18"/>
        </w:numPr>
        <w:tabs>
          <w:tab w:val="left" w:pos="1561"/>
        </w:tabs>
        <w:autoSpaceDE w:val="0"/>
        <w:autoSpaceDN w:val="0"/>
        <w:spacing w:before="120" w:after="0" w:line="240" w:lineRule="auto"/>
        <w:ind w:right="119"/>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what practitioners must do in preparation for seeking authorisation to take the evidence of a vulnerable witness by a commissioner;</w:t>
      </w:r>
    </w:p>
    <w:p w:rsidR="005A2AAC" w:rsidRPr="00346C89" w:rsidRDefault="005A2AAC" w:rsidP="005A2AAC">
      <w:pPr>
        <w:widowControl w:val="0"/>
        <w:numPr>
          <w:ilvl w:val="1"/>
          <w:numId w:val="18"/>
        </w:numPr>
        <w:tabs>
          <w:tab w:val="left" w:pos="1561"/>
        </w:tabs>
        <w:autoSpaceDE w:val="0"/>
        <w:autoSpaceDN w:val="0"/>
        <w:spacing w:before="120" w:after="0" w:line="240" w:lineRule="auto"/>
        <w:ind w:right="117"/>
        <w:jc w:val="both"/>
        <w:rPr>
          <w:rFonts w:ascii="Palatino Linotype" w:eastAsia="Palatino Linotype" w:hAnsi="Palatino Linotype" w:cs="Palatino Linotype"/>
          <w:sz w:val="24"/>
          <w:lang w:val="en-US" w:eastAsia="en-US"/>
        </w:rPr>
      </w:pPr>
      <w:proofErr w:type="gramStart"/>
      <w:r w:rsidRPr="00346C89">
        <w:rPr>
          <w:rFonts w:ascii="Palatino Linotype" w:eastAsia="Palatino Linotype" w:hAnsi="Palatino Linotype" w:cs="Palatino Linotype"/>
          <w:sz w:val="24"/>
          <w:lang w:val="en-US" w:eastAsia="en-US"/>
        </w:rPr>
        <w:t>what</w:t>
      </w:r>
      <w:proofErr w:type="gramEnd"/>
      <w:r w:rsidRPr="00346C89">
        <w:rPr>
          <w:rFonts w:ascii="Palatino Linotype" w:eastAsia="Palatino Linotype" w:hAnsi="Palatino Linotype" w:cs="Palatino Linotype"/>
          <w:sz w:val="24"/>
          <w:lang w:val="en-US" w:eastAsia="en-US"/>
        </w:rPr>
        <w:t xml:space="preserve"> issues the court will expect practitioners to address in </w:t>
      </w:r>
      <w:r w:rsidRPr="00346C89">
        <w:rPr>
          <w:rFonts w:ascii="Palatino Linotype" w:eastAsia="Palatino Linotype" w:hAnsi="Palatino Linotype" w:cs="Palatino Linotype"/>
          <w:spacing w:val="3"/>
          <w:sz w:val="24"/>
          <w:lang w:val="en-US" w:eastAsia="en-US"/>
        </w:rPr>
        <w:t xml:space="preserve">an </w:t>
      </w:r>
      <w:r w:rsidRPr="00346C89">
        <w:rPr>
          <w:rFonts w:ascii="Palatino Linotype" w:eastAsia="Palatino Linotype" w:hAnsi="Palatino Linotype" w:cs="Palatino Linotype"/>
          <w:sz w:val="24"/>
          <w:lang w:val="en-US" w:eastAsia="en-US"/>
        </w:rPr>
        <w:t>application in relation to taking of evidence by a</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commissioner.</w:t>
      </w:r>
    </w:p>
    <w:p w:rsidR="005A2AAC" w:rsidRDefault="005A2AAC" w:rsidP="005A2AAC">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p>
    <w:p w:rsidR="005A2AAC" w:rsidRPr="00346C89" w:rsidRDefault="005A2AAC" w:rsidP="005A2AAC">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When practitioners should consider whether a commission is required</w:t>
      </w:r>
    </w:p>
    <w:p w:rsidR="005A2AAC" w:rsidRPr="00346C89" w:rsidRDefault="005A2AAC" w:rsidP="005A2AAC">
      <w:pPr>
        <w:widowControl w:val="0"/>
        <w:autoSpaceDE w:val="0"/>
        <w:autoSpaceDN w:val="0"/>
        <w:spacing w:before="2" w:after="0" w:line="240" w:lineRule="auto"/>
        <w:rPr>
          <w:rFonts w:ascii="Palatino Linotype" w:eastAsia="Palatino Linotype" w:hAnsi="Palatino Linotype" w:cs="Palatino Linotype"/>
          <w:b/>
          <w:sz w:val="24"/>
          <w:szCs w:val="24"/>
          <w:lang w:val="en-US" w:eastAsia="en-US"/>
        </w:rPr>
      </w:pPr>
    </w:p>
    <w:p w:rsidR="005A2AAC" w:rsidRPr="00346C89" w:rsidRDefault="005A2AAC" w:rsidP="005A2AAC">
      <w:pPr>
        <w:widowControl w:val="0"/>
        <w:numPr>
          <w:ilvl w:val="0"/>
          <w:numId w:val="18"/>
        </w:numPr>
        <w:tabs>
          <w:tab w:val="left" w:pos="841"/>
        </w:tabs>
        <w:autoSpaceDE w:val="0"/>
        <w:autoSpaceDN w:val="0"/>
        <w:spacing w:before="1" w:after="0" w:line="240" w:lineRule="auto"/>
        <w:ind w:right="11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Parties need to consider proactively at an early stage whether any witness is, or may be,</w:t>
      </w:r>
      <w:r>
        <w:rPr>
          <w:rFonts w:ascii="Palatino Linotype" w:eastAsia="Palatino Linotype" w:hAnsi="Palatino Linotype" w:cs="Palatino Linotype"/>
          <w:sz w:val="24"/>
          <w:lang w:val="en-US" w:eastAsia="en-US"/>
        </w:rPr>
        <w:t xml:space="preserve"> a vulnerable witness. In High </w:t>
      </w:r>
      <w:r w:rsidRPr="00346C89">
        <w:rPr>
          <w:rFonts w:ascii="Palatino Linotype" w:eastAsia="Palatino Linotype" w:hAnsi="Palatino Linotype" w:cs="Palatino Linotype"/>
          <w:sz w:val="24"/>
          <w:lang w:val="en-US" w:eastAsia="en-US"/>
        </w:rPr>
        <w:t xml:space="preserve">Court proceedings, if the Crown intends to seek the special measure of a commission that must be intimated to the defence at the earliest opportunity so that appropriate legal aid </w:t>
      </w:r>
      <w:proofErr w:type="gramStart"/>
      <w:r w:rsidRPr="00346C89">
        <w:rPr>
          <w:rFonts w:ascii="Palatino Linotype" w:eastAsia="Palatino Linotype" w:hAnsi="Palatino Linotype" w:cs="Palatino Linotype"/>
          <w:sz w:val="24"/>
          <w:lang w:val="en-US" w:eastAsia="en-US"/>
        </w:rPr>
        <w:t>cover</w:t>
      </w:r>
      <w:proofErr w:type="gramEnd"/>
      <w:r w:rsidRPr="00346C89">
        <w:rPr>
          <w:rFonts w:ascii="Palatino Linotype" w:eastAsia="Palatino Linotype" w:hAnsi="Palatino Linotype" w:cs="Palatino Linotype"/>
          <w:sz w:val="24"/>
          <w:lang w:val="en-US" w:eastAsia="en-US"/>
        </w:rPr>
        <w:t xml:space="preserve"> can be arranged without delay. Similarly, the defence must intimate any such intention to seek a commission as soon as</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possible.</w:t>
      </w:r>
    </w:p>
    <w:p w:rsidR="005A2AAC" w:rsidRPr="00346C89" w:rsidRDefault="005A2AAC" w:rsidP="005A2AAC">
      <w:pPr>
        <w:widowControl w:val="0"/>
        <w:autoSpaceDE w:val="0"/>
        <w:autoSpaceDN w:val="0"/>
        <w:spacing w:before="1" w:after="0" w:line="240" w:lineRule="auto"/>
        <w:rPr>
          <w:rFonts w:ascii="Palatino Linotype" w:eastAsia="Palatino Linotype" w:hAnsi="Palatino Linotype" w:cs="Palatino Linotype"/>
          <w:sz w:val="24"/>
          <w:szCs w:val="24"/>
          <w:lang w:val="en-US" w:eastAsia="en-US"/>
        </w:rPr>
      </w:pPr>
    </w:p>
    <w:p w:rsidR="005A2AAC" w:rsidRPr="00346C89" w:rsidRDefault="005A2AAC" w:rsidP="005A2AAC">
      <w:pPr>
        <w:widowControl w:val="0"/>
        <w:numPr>
          <w:ilvl w:val="0"/>
          <w:numId w:val="18"/>
        </w:numPr>
        <w:tabs>
          <w:tab w:val="left" w:pos="841"/>
        </w:tabs>
        <w:autoSpaceDE w:val="0"/>
        <w:autoSpaceDN w:val="0"/>
        <w:spacing w:after="0" w:line="240" w:lineRule="auto"/>
        <w:ind w:right="11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In cases where it is intended to rely on a prior statement as evidence in chief, it is particularly important that the commission should proceed  at as early a stage as possible, having regard to the observations of the court in the case of </w:t>
      </w:r>
      <w:r w:rsidRPr="00346C89">
        <w:rPr>
          <w:rFonts w:ascii="Palatino Linotype" w:eastAsia="Palatino Linotype" w:hAnsi="Palatino Linotype" w:cs="Palatino Linotype"/>
          <w:i/>
          <w:sz w:val="24"/>
          <w:lang w:val="en-US" w:eastAsia="en-US"/>
        </w:rPr>
        <w:t xml:space="preserve">MacLennan v HM Advocate </w:t>
      </w:r>
      <w:r w:rsidRPr="00346C89">
        <w:rPr>
          <w:rFonts w:ascii="Palatino Linotype" w:eastAsia="Palatino Linotype" w:hAnsi="Palatino Linotype" w:cs="Palatino Linotype"/>
          <w:sz w:val="24"/>
          <w:lang w:val="en-US" w:eastAsia="en-US"/>
        </w:rPr>
        <w:t>2016 JC 117 at paras 21 and</w:t>
      </w:r>
      <w:r w:rsidRPr="00346C89">
        <w:rPr>
          <w:rFonts w:ascii="Palatino Linotype" w:eastAsia="Palatino Linotype" w:hAnsi="Palatino Linotype" w:cs="Palatino Linotype"/>
          <w:spacing w:val="-1"/>
          <w:sz w:val="24"/>
          <w:lang w:val="en-US" w:eastAsia="en-US"/>
        </w:rPr>
        <w:t xml:space="preserve"> </w:t>
      </w:r>
      <w:r w:rsidRPr="00346C89">
        <w:rPr>
          <w:rFonts w:ascii="Palatino Linotype" w:eastAsia="Palatino Linotype" w:hAnsi="Palatino Linotype" w:cs="Palatino Linotype"/>
          <w:sz w:val="24"/>
          <w:lang w:val="en-US" w:eastAsia="en-US"/>
        </w:rPr>
        <w:t>28.</w:t>
      </w: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5A2AAC" w:rsidRPr="00346C89" w:rsidRDefault="005A2AAC" w:rsidP="005A2AAC">
      <w:pPr>
        <w:widowControl w:val="0"/>
        <w:autoSpaceDE w:val="0"/>
        <w:autoSpaceDN w:val="0"/>
        <w:spacing w:before="9" w:after="0" w:line="240" w:lineRule="auto"/>
        <w:rPr>
          <w:rFonts w:ascii="Palatino Linotype" w:eastAsia="Palatino Linotype" w:hAnsi="Palatino Linotype" w:cs="Palatino Linotype"/>
          <w:sz w:val="23"/>
          <w:szCs w:val="24"/>
          <w:lang w:val="en-US" w:eastAsia="en-US"/>
        </w:rPr>
      </w:pPr>
    </w:p>
    <w:p w:rsidR="005A2AAC" w:rsidRPr="00346C89" w:rsidRDefault="005A2AAC" w:rsidP="005A2AAC">
      <w:pPr>
        <w:widowControl w:val="0"/>
        <w:autoSpaceDE w:val="0"/>
        <w:autoSpaceDN w:val="0"/>
        <w:spacing w:after="0" w:line="240" w:lineRule="auto"/>
        <w:ind w:left="120"/>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Preparation for seeking the special measure of taking of evidence by a commissioner</w:t>
      </w:r>
    </w:p>
    <w:p w:rsidR="005A2AAC" w:rsidRPr="00346C89" w:rsidRDefault="005A2AAC" w:rsidP="005A2AAC">
      <w:pPr>
        <w:widowControl w:val="0"/>
        <w:autoSpaceDE w:val="0"/>
        <w:autoSpaceDN w:val="0"/>
        <w:spacing w:before="2" w:after="0" w:line="240" w:lineRule="auto"/>
        <w:rPr>
          <w:rFonts w:ascii="Palatino Linotype" w:eastAsia="Palatino Linotype" w:hAnsi="Palatino Linotype" w:cs="Palatino Linotype"/>
          <w:b/>
          <w:sz w:val="24"/>
          <w:szCs w:val="24"/>
          <w:lang w:val="en-US" w:eastAsia="en-US"/>
        </w:rPr>
      </w:pPr>
    </w:p>
    <w:p w:rsidR="005A2AAC" w:rsidRPr="00346C89" w:rsidRDefault="005A2AAC" w:rsidP="005A2AAC">
      <w:pPr>
        <w:widowControl w:val="0"/>
        <w:numPr>
          <w:ilvl w:val="0"/>
          <w:numId w:val="18"/>
        </w:numPr>
        <w:tabs>
          <w:tab w:val="left" w:pos="841"/>
        </w:tabs>
        <w:autoSpaceDE w:val="0"/>
        <w:autoSpaceDN w:val="0"/>
        <w:spacing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In preparing a Vulnerable Witness (VW) notice or application a practitioner is</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to:</w:t>
      </w: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5A2AAC" w:rsidRPr="00346C89" w:rsidRDefault="005A2AAC" w:rsidP="005A2AAC">
      <w:pPr>
        <w:widowControl w:val="0"/>
        <w:numPr>
          <w:ilvl w:val="0"/>
          <w:numId w:val="17"/>
        </w:numPr>
        <w:tabs>
          <w:tab w:val="left" w:pos="1200"/>
          <w:tab w:val="left" w:pos="120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have regard to the best interests of the</w:t>
      </w:r>
      <w:r w:rsidRPr="00346C89">
        <w:rPr>
          <w:rFonts w:ascii="Palatino Linotype" w:eastAsia="Palatino Linotype" w:hAnsi="Palatino Linotype" w:cs="Palatino Linotype"/>
          <w:spacing w:val="-17"/>
          <w:sz w:val="24"/>
          <w:lang w:val="en-US" w:eastAsia="en-US"/>
        </w:rPr>
        <w:t xml:space="preserve"> </w:t>
      </w:r>
      <w:r w:rsidRPr="00346C89">
        <w:rPr>
          <w:rFonts w:ascii="Palatino Linotype" w:eastAsia="Palatino Linotype" w:hAnsi="Palatino Linotype" w:cs="Palatino Linotype"/>
          <w:sz w:val="24"/>
          <w:lang w:val="en-US" w:eastAsia="en-US"/>
        </w:rPr>
        <w:t>witness;</w:t>
      </w:r>
    </w:p>
    <w:p w:rsidR="005A2AAC" w:rsidRPr="00346C89" w:rsidRDefault="005A2AAC" w:rsidP="005A2AAC">
      <w:pPr>
        <w:widowControl w:val="0"/>
        <w:numPr>
          <w:ilvl w:val="0"/>
          <w:numId w:val="17"/>
        </w:numPr>
        <w:tabs>
          <w:tab w:val="left" w:pos="1201"/>
        </w:tabs>
        <w:autoSpaceDE w:val="0"/>
        <w:autoSpaceDN w:val="0"/>
        <w:spacing w:before="120"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seek the views of the witness, and/or parent or guardian </w:t>
      </w:r>
      <w:r w:rsidRPr="00346C89">
        <w:rPr>
          <w:rFonts w:ascii="Palatino Linotype" w:eastAsia="Palatino Linotype" w:hAnsi="Palatino Linotype" w:cs="Palatino Linotype"/>
          <w:spacing w:val="3"/>
          <w:sz w:val="24"/>
          <w:lang w:val="en-US" w:eastAsia="en-US"/>
        </w:rPr>
        <w:t xml:space="preserve">of </w:t>
      </w:r>
      <w:r w:rsidRPr="00346C89">
        <w:rPr>
          <w:rFonts w:ascii="Palatino Linotype" w:eastAsia="Palatino Linotype" w:hAnsi="Palatino Linotype" w:cs="Palatino Linotype"/>
          <w:sz w:val="24"/>
          <w:lang w:val="en-US" w:eastAsia="en-US"/>
        </w:rPr>
        <w:t>the witness, as appropriate, with a view to determining whether taking evidence by commissioner will be the most suitable  special measure, or whether another special measure, or a combination of measures, will be better in obtaining the witness’s “ best</w:t>
      </w:r>
      <w:r w:rsidRPr="00346C89">
        <w:rPr>
          <w:rFonts w:ascii="Palatino Linotype" w:eastAsia="Palatino Linotype" w:hAnsi="Palatino Linotype" w:cs="Palatino Linotype"/>
          <w:spacing w:val="-16"/>
          <w:sz w:val="24"/>
          <w:lang w:val="en-US" w:eastAsia="en-US"/>
        </w:rPr>
        <w:t xml:space="preserve"> </w:t>
      </w:r>
      <w:r w:rsidRPr="00346C89">
        <w:rPr>
          <w:rFonts w:ascii="Palatino Linotype" w:eastAsia="Palatino Linotype" w:hAnsi="Palatino Linotype" w:cs="Palatino Linotype"/>
          <w:sz w:val="24"/>
          <w:lang w:val="en-US" w:eastAsia="en-US"/>
        </w:rPr>
        <w:t>evidence”;</w:t>
      </w:r>
    </w:p>
    <w:p w:rsidR="005A2AAC" w:rsidRPr="00346C89" w:rsidRDefault="005A2AAC" w:rsidP="005A2AAC">
      <w:pPr>
        <w:widowControl w:val="0"/>
        <w:numPr>
          <w:ilvl w:val="0"/>
          <w:numId w:val="17"/>
        </w:numPr>
        <w:tabs>
          <w:tab w:val="left" w:pos="1201"/>
        </w:tabs>
        <w:autoSpaceDE w:val="0"/>
        <w:autoSpaceDN w:val="0"/>
        <w:spacing w:before="120"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take account of any such views expressed by the witness, or a parent or guardian of the witness as appropriate;</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and</w:t>
      </w:r>
    </w:p>
    <w:p w:rsidR="005A2AAC" w:rsidRPr="00346C89" w:rsidRDefault="005A2AAC" w:rsidP="005A2AAC">
      <w:pPr>
        <w:widowControl w:val="0"/>
        <w:numPr>
          <w:ilvl w:val="0"/>
          <w:numId w:val="17"/>
        </w:numPr>
        <w:tabs>
          <w:tab w:val="left" w:pos="1201"/>
        </w:tabs>
        <w:autoSpaceDE w:val="0"/>
        <w:autoSpaceDN w:val="0"/>
        <w:spacing w:before="120" w:after="0" w:line="240" w:lineRule="auto"/>
        <w:ind w:right="119"/>
        <w:jc w:val="both"/>
        <w:rPr>
          <w:rFonts w:ascii="Palatino Linotype" w:eastAsia="Palatino Linotype" w:hAnsi="Palatino Linotype" w:cs="Palatino Linotype"/>
          <w:sz w:val="24"/>
          <w:lang w:val="en-US" w:eastAsia="en-US"/>
        </w:rPr>
      </w:pPr>
      <w:proofErr w:type="gramStart"/>
      <w:r w:rsidRPr="00346C89">
        <w:rPr>
          <w:rFonts w:ascii="Palatino Linotype" w:eastAsia="Palatino Linotype" w:hAnsi="Palatino Linotype" w:cs="Palatino Linotype"/>
          <w:sz w:val="24"/>
          <w:lang w:val="en-US" w:eastAsia="en-US"/>
        </w:rPr>
        <w:t>consider</w:t>
      </w:r>
      <w:proofErr w:type="gramEnd"/>
      <w:r w:rsidRPr="00346C89">
        <w:rPr>
          <w:rFonts w:ascii="Palatino Linotype" w:eastAsia="Palatino Linotype" w:hAnsi="Palatino Linotype" w:cs="Palatino Linotype"/>
          <w:sz w:val="24"/>
          <w:lang w:val="en-US" w:eastAsia="en-US"/>
        </w:rPr>
        <w:t xml:space="preserve"> how relevant information relating to the application or any subsequent commission will be communicated to the</w:t>
      </w:r>
      <w:r w:rsidRPr="00346C89">
        <w:rPr>
          <w:rFonts w:ascii="Palatino Linotype" w:eastAsia="Palatino Linotype" w:hAnsi="Palatino Linotype" w:cs="Palatino Linotype"/>
          <w:spacing w:val="-20"/>
          <w:sz w:val="24"/>
          <w:lang w:val="en-US" w:eastAsia="en-US"/>
        </w:rPr>
        <w:t xml:space="preserve"> </w:t>
      </w:r>
      <w:r w:rsidRPr="00346C89">
        <w:rPr>
          <w:rFonts w:ascii="Palatino Linotype" w:eastAsia="Palatino Linotype" w:hAnsi="Palatino Linotype" w:cs="Palatino Linotype"/>
          <w:sz w:val="24"/>
          <w:lang w:val="en-US" w:eastAsia="en-US"/>
        </w:rPr>
        <w:t>witness.</w:t>
      </w:r>
    </w:p>
    <w:p w:rsidR="005A2AAC" w:rsidRPr="00346C89" w:rsidRDefault="005A2AAC" w:rsidP="005A2AAC">
      <w:pPr>
        <w:widowControl w:val="0"/>
        <w:autoSpaceDE w:val="0"/>
        <w:autoSpaceDN w:val="0"/>
        <w:spacing w:before="12" w:after="0" w:line="240" w:lineRule="auto"/>
        <w:rPr>
          <w:rFonts w:ascii="Palatino Linotype" w:eastAsia="Palatino Linotype" w:hAnsi="Palatino Linotype" w:cs="Palatino Linotype"/>
          <w:sz w:val="32"/>
          <w:szCs w:val="24"/>
          <w:lang w:val="en-US" w:eastAsia="en-US"/>
        </w:rPr>
      </w:pPr>
    </w:p>
    <w:p w:rsidR="005A2AAC" w:rsidRPr="00346C89" w:rsidRDefault="005A2AAC" w:rsidP="005A2AAC">
      <w:pPr>
        <w:widowControl w:val="0"/>
        <w:numPr>
          <w:ilvl w:val="0"/>
          <w:numId w:val="18"/>
        </w:numPr>
        <w:tabs>
          <w:tab w:val="left" w:pos="840"/>
          <w:tab w:val="left" w:pos="84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VW notice or application is</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to</w:t>
      </w:r>
    </w:p>
    <w:p w:rsidR="005A2AAC" w:rsidRPr="00346C89" w:rsidRDefault="005A2AAC" w:rsidP="005A2AAC">
      <w:pPr>
        <w:widowControl w:val="0"/>
        <w:autoSpaceDE w:val="0"/>
        <w:autoSpaceDN w:val="0"/>
        <w:spacing w:before="13" w:after="0" w:line="240" w:lineRule="auto"/>
        <w:rPr>
          <w:rFonts w:ascii="Palatino Linotype" w:eastAsia="Palatino Linotype" w:hAnsi="Palatino Linotype" w:cs="Palatino Linotype"/>
          <w:sz w:val="23"/>
          <w:szCs w:val="24"/>
          <w:lang w:val="en-US" w:eastAsia="en-US"/>
        </w:rPr>
      </w:pPr>
    </w:p>
    <w:p w:rsidR="005A2AAC" w:rsidRPr="00346C89" w:rsidRDefault="005A2AAC" w:rsidP="005A2AAC">
      <w:pPr>
        <w:widowControl w:val="0"/>
        <w:numPr>
          <w:ilvl w:val="0"/>
          <w:numId w:val="16"/>
        </w:numPr>
        <w:tabs>
          <w:tab w:val="left" w:pos="1200"/>
          <w:tab w:val="left" w:pos="120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reflect any relevant statutory</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provisions;</w:t>
      </w:r>
    </w:p>
    <w:p w:rsidR="005A2AAC" w:rsidRDefault="005A2AAC" w:rsidP="005A2AAC">
      <w:pPr>
        <w:widowControl w:val="0"/>
        <w:autoSpaceDE w:val="0"/>
        <w:autoSpaceDN w:val="0"/>
        <w:spacing w:before="11" w:after="0" w:line="240" w:lineRule="auto"/>
        <w:rPr>
          <w:rFonts w:ascii="Palatino Linotype" w:eastAsia="Palatino Linotype" w:hAnsi="Palatino Linotype" w:cs="Palatino Linotype"/>
          <w:sz w:val="16"/>
          <w:szCs w:val="24"/>
          <w:lang w:val="en-US" w:eastAsia="en-US"/>
        </w:rPr>
      </w:pPr>
    </w:p>
    <w:p w:rsidR="005A2AAC" w:rsidRPr="00346C89" w:rsidRDefault="005A2AAC" w:rsidP="005A2AAC">
      <w:pPr>
        <w:widowControl w:val="0"/>
        <w:numPr>
          <w:ilvl w:val="0"/>
          <w:numId w:val="16"/>
        </w:numPr>
        <w:tabs>
          <w:tab w:val="left" w:pos="1201"/>
        </w:tabs>
        <w:autoSpaceDE w:val="0"/>
        <w:autoSpaceDN w:val="0"/>
        <w:spacing w:after="0" w:line="240" w:lineRule="auto"/>
        <w:ind w:right="12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explain the basis upon which the witness qualifies as a vulnerable witness, and any specific issues relating to the</w:t>
      </w:r>
      <w:r w:rsidRPr="00346C89">
        <w:rPr>
          <w:rFonts w:ascii="Palatino Linotype" w:eastAsia="Palatino Linotype" w:hAnsi="Palatino Linotype" w:cs="Palatino Linotype"/>
          <w:spacing w:val="-14"/>
          <w:sz w:val="24"/>
          <w:lang w:val="en-US" w:eastAsia="en-US"/>
        </w:rPr>
        <w:t xml:space="preserve"> </w:t>
      </w:r>
      <w:r w:rsidRPr="00346C89">
        <w:rPr>
          <w:rFonts w:ascii="Palatino Linotype" w:eastAsia="Palatino Linotype" w:hAnsi="Palatino Linotype" w:cs="Palatino Linotype"/>
          <w:sz w:val="24"/>
          <w:lang w:val="en-US" w:eastAsia="en-US"/>
        </w:rPr>
        <w:t>witness;</w:t>
      </w:r>
    </w:p>
    <w:p w:rsidR="005A2AAC" w:rsidRPr="00346C89" w:rsidRDefault="005A2AAC" w:rsidP="005A2AAC">
      <w:pPr>
        <w:widowControl w:val="0"/>
        <w:numPr>
          <w:ilvl w:val="0"/>
          <w:numId w:val="16"/>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why a commission is considered appropriate for the</w:t>
      </w:r>
      <w:r w:rsidRPr="00346C89">
        <w:rPr>
          <w:rFonts w:ascii="Palatino Linotype" w:eastAsia="Palatino Linotype" w:hAnsi="Palatino Linotype" w:cs="Palatino Linotype"/>
          <w:spacing w:val="-18"/>
          <w:sz w:val="24"/>
          <w:lang w:val="en-US" w:eastAsia="en-US"/>
        </w:rPr>
        <w:t xml:space="preserve"> </w:t>
      </w:r>
      <w:r w:rsidRPr="00346C89">
        <w:rPr>
          <w:rFonts w:ascii="Palatino Linotype" w:eastAsia="Palatino Linotype" w:hAnsi="Palatino Linotype" w:cs="Palatino Linotype"/>
          <w:sz w:val="24"/>
          <w:lang w:val="en-US" w:eastAsia="en-US"/>
        </w:rPr>
        <w:t>witness;</w:t>
      </w:r>
    </w:p>
    <w:p w:rsidR="005A2AAC" w:rsidRPr="00346C89" w:rsidRDefault="005A2AAC" w:rsidP="005A2AAC">
      <w:pPr>
        <w:widowControl w:val="0"/>
        <w:numPr>
          <w:ilvl w:val="0"/>
          <w:numId w:val="16"/>
        </w:numPr>
        <w:tabs>
          <w:tab w:val="left" w:pos="1201"/>
        </w:tabs>
        <w:autoSpaceDE w:val="0"/>
        <w:autoSpaceDN w:val="0"/>
        <w:spacing w:before="120"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state whether the commission requires to be held in any particular </w:t>
      </w:r>
      <w:r w:rsidRPr="00346C89">
        <w:rPr>
          <w:rFonts w:ascii="Palatino Linotype" w:eastAsia="Palatino Linotype" w:hAnsi="Palatino Linotype" w:cs="Palatino Linotype"/>
          <w:sz w:val="24"/>
          <w:lang w:val="en-US" w:eastAsia="en-US"/>
        </w:rPr>
        <w:lastRenderedPageBreak/>
        <w:t>place, or environment, due to the location of the witness or any particular vulnerabilities which the witness may</w:t>
      </w:r>
      <w:r w:rsidRPr="00346C89">
        <w:rPr>
          <w:rFonts w:ascii="Palatino Linotype" w:eastAsia="Palatino Linotype" w:hAnsi="Palatino Linotype" w:cs="Palatino Linotype"/>
          <w:spacing w:val="-12"/>
          <w:sz w:val="24"/>
          <w:lang w:val="en-US" w:eastAsia="en-US"/>
        </w:rPr>
        <w:t xml:space="preserve"> </w:t>
      </w:r>
      <w:r w:rsidRPr="00346C89">
        <w:rPr>
          <w:rFonts w:ascii="Palatino Linotype" w:eastAsia="Palatino Linotype" w:hAnsi="Palatino Linotype" w:cs="Palatino Linotype"/>
          <w:sz w:val="24"/>
          <w:lang w:val="en-US" w:eastAsia="en-US"/>
        </w:rPr>
        <w:t>have;</w:t>
      </w:r>
    </w:p>
    <w:p w:rsidR="005A2AAC" w:rsidRPr="00346C89" w:rsidRDefault="005A2AAC" w:rsidP="005A2AAC">
      <w:pPr>
        <w:widowControl w:val="0"/>
        <w:numPr>
          <w:ilvl w:val="0"/>
          <w:numId w:val="16"/>
        </w:numPr>
        <w:tabs>
          <w:tab w:val="left" w:pos="1200"/>
          <w:tab w:val="left" w:pos="1201"/>
        </w:tabs>
        <w:autoSpaceDE w:val="0"/>
        <w:autoSpaceDN w:val="0"/>
        <w:spacing w:before="117"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requires additional special</w:t>
      </w:r>
      <w:r w:rsidRPr="00346C89">
        <w:rPr>
          <w:rFonts w:ascii="Palatino Linotype" w:eastAsia="Palatino Linotype" w:hAnsi="Palatino Linotype" w:cs="Palatino Linotype"/>
          <w:spacing w:val="-17"/>
          <w:sz w:val="24"/>
          <w:lang w:val="en-US" w:eastAsia="en-US"/>
        </w:rPr>
        <w:t xml:space="preserve"> </w:t>
      </w:r>
      <w:r w:rsidRPr="00346C89">
        <w:rPr>
          <w:rFonts w:ascii="Palatino Linotype" w:eastAsia="Palatino Linotype" w:hAnsi="Palatino Linotype" w:cs="Palatino Linotype"/>
          <w:sz w:val="24"/>
          <w:lang w:val="en-US" w:eastAsia="en-US"/>
        </w:rPr>
        <w:t>measures;</w:t>
      </w:r>
    </w:p>
    <w:p w:rsidR="005A2AAC" w:rsidRPr="00346C89" w:rsidRDefault="005A2AAC" w:rsidP="005A2AAC">
      <w:pPr>
        <w:widowControl w:val="0"/>
        <w:numPr>
          <w:ilvl w:val="0"/>
          <w:numId w:val="16"/>
        </w:numPr>
        <w:tabs>
          <w:tab w:val="left" w:pos="1201"/>
        </w:tabs>
        <w:autoSpaceDE w:val="0"/>
        <w:autoSpaceDN w:val="0"/>
        <w:spacing w:before="119" w:after="0" w:line="240" w:lineRule="auto"/>
        <w:ind w:right="12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will give evidence to the commission by live television</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link;</w:t>
      </w:r>
    </w:p>
    <w:p w:rsidR="005A2AAC" w:rsidRPr="00346C89" w:rsidRDefault="005A2AAC" w:rsidP="005A2AAC">
      <w:pPr>
        <w:widowControl w:val="0"/>
        <w:numPr>
          <w:ilvl w:val="0"/>
          <w:numId w:val="16"/>
        </w:numPr>
        <w:tabs>
          <w:tab w:val="left" w:pos="1201"/>
        </w:tabs>
        <w:autoSpaceDE w:val="0"/>
        <w:autoSpaceDN w:val="0"/>
        <w:spacing w:before="119" w:after="0" w:line="240" w:lineRule="auto"/>
        <w:ind w:right="12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is restricted as to any times of the day, or particular days or dates that he or she can attend a commission as a result of his or her</w:t>
      </w:r>
      <w:r w:rsidRPr="00346C89">
        <w:rPr>
          <w:rFonts w:ascii="Palatino Linotype" w:eastAsia="Palatino Linotype" w:hAnsi="Palatino Linotype" w:cs="Palatino Linotype"/>
          <w:spacing w:val="-12"/>
          <w:sz w:val="24"/>
          <w:lang w:val="en-US" w:eastAsia="en-US"/>
        </w:rPr>
        <w:t xml:space="preserve"> </w:t>
      </w:r>
      <w:r w:rsidRPr="00346C89">
        <w:rPr>
          <w:rFonts w:ascii="Palatino Linotype" w:eastAsia="Palatino Linotype" w:hAnsi="Palatino Linotype" w:cs="Palatino Linotype"/>
          <w:sz w:val="24"/>
          <w:lang w:val="en-US" w:eastAsia="en-US"/>
        </w:rPr>
        <w:t>vulnerability;</w:t>
      </w:r>
    </w:p>
    <w:p w:rsidR="005A2AAC" w:rsidRPr="00346C89" w:rsidRDefault="005A2AAC" w:rsidP="005A2AAC">
      <w:pPr>
        <w:widowControl w:val="0"/>
        <w:numPr>
          <w:ilvl w:val="0"/>
          <w:numId w:val="16"/>
        </w:numPr>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is likely to need frequent breaks or any other special requirements, such as disabled</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access;</w:t>
      </w:r>
    </w:p>
    <w:p w:rsidR="005A2AAC" w:rsidRPr="00346C89" w:rsidRDefault="005A2AAC" w:rsidP="005A2AAC">
      <w:pPr>
        <w:widowControl w:val="0"/>
        <w:numPr>
          <w:ilvl w:val="0"/>
          <w:numId w:val="16"/>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address how any question of identification is going to be dealt</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with;</w:t>
      </w:r>
    </w:p>
    <w:p w:rsidR="005A2AAC" w:rsidRPr="00346C89" w:rsidRDefault="005A2AAC" w:rsidP="005A2AAC">
      <w:pPr>
        <w:widowControl w:val="0"/>
        <w:numPr>
          <w:ilvl w:val="0"/>
          <w:numId w:val="16"/>
        </w:numPr>
        <w:tabs>
          <w:tab w:val="left" w:pos="1201"/>
        </w:tabs>
        <w:autoSpaceDE w:val="0"/>
        <w:autoSpaceDN w:val="0"/>
        <w:spacing w:before="119"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identify any productions or labels that may require to be put to </w:t>
      </w:r>
      <w:r w:rsidRPr="00346C89">
        <w:rPr>
          <w:rFonts w:ascii="Palatino Linotype" w:eastAsia="Palatino Linotype" w:hAnsi="Palatino Linotype" w:cs="Palatino Linotype"/>
          <w:spacing w:val="2"/>
          <w:sz w:val="24"/>
          <w:lang w:val="en-US" w:eastAsia="en-US"/>
        </w:rPr>
        <w:t xml:space="preserve">the </w:t>
      </w:r>
      <w:r w:rsidRPr="00346C89">
        <w:rPr>
          <w:rFonts w:ascii="Palatino Linotype" w:eastAsia="Palatino Linotype" w:hAnsi="Palatino Linotype" w:cs="Palatino Linotype"/>
          <w:sz w:val="24"/>
          <w:lang w:val="en-US" w:eastAsia="en-US"/>
        </w:rPr>
        <w:t>witness (the use of any productions or labels should be kept to a minimum);</w:t>
      </w:r>
    </w:p>
    <w:p w:rsidR="005A2AAC" w:rsidRPr="00346C89" w:rsidRDefault="005A2AAC" w:rsidP="005A2AAC">
      <w:pPr>
        <w:widowControl w:val="0"/>
        <w:numPr>
          <w:ilvl w:val="0"/>
          <w:numId w:val="16"/>
        </w:numPr>
        <w:tabs>
          <w:tab w:val="left" w:pos="1201"/>
        </w:tabs>
        <w:autoSpaceDE w:val="0"/>
        <w:autoSpaceDN w:val="0"/>
        <w:spacing w:before="117" w:after="0" w:line="240" w:lineRule="auto"/>
        <w:ind w:right="118"/>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any prior statement in any form may be put to a witness, identify the statement or the particular passages</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therein;</w:t>
      </w:r>
    </w:p>
    <w:p w:rsidR="005A2AAC" w:rsidRPr="00346C89" w:rsidRDefault="005A2AAC" w:rsidP="005A2AAC">
      <w:pPr>
        <w:widowControl w:val="0"/>
        <w:numPr>
          <w:ilvl w:val="0"/>
          <w:numId w:val="16"/>
        </w:numPr>
        <w:tabs>
          <w:tab w:val="left" w:pos="1201"/>
        </w:tabs>
        <w:autoSpaceDE w:val="0"/>
        <w:autoSpaceDN w:val="0"/>
        <w:spacing w:before="120"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the manner in which such statement should be put, and the provision, if any, of the Criminal Procedure (Scotland) Act 1995 (“1995 Act”)  being relied</w:t>
      </w:r>
      <w:r w:rsidRPr="00346C89">
        <w:rPr>
          <w:rFonts w:ascii="Palatino Linotype" w:eastAsia="Palatino Linotype" w:hAnsi="Palatino Linotype" w:cs="Palatino Linotype"/>
          <w:spacing w:val="-2"/>
          <w:sz w:val="24"/>
          <w:lang w:val="en-US" w:eastAsia="en-US"/>
        </w:rPr>
        <w:t xml:space="preserve"> </w:t>
      </w:r>
      <w:r w:rsidRPr="00346C89">
        <w:rPr>
          <w:rFonts w:ascii="Palatino Linotype" w:eastAsia="Palatino Linotype" w:hAnsi="Palatino Linotype" w:cs="Palatino Linotype"/>
          <w:sz w:val="24"/>
          <w:lang w:val="en-US" w:eastAsia="en-US"/>
        </w:rPr>
        <w:t>upon;</w:t>
      </w:r>
    </w:p>
    <w:p w:rsidR="005A2AAC" w:rsidRPr="00346C89" w:rsidRDefault="005A2AAC" w:rsidP="005A2AAC">
      <w:pPr>
        <w:widowControl w:val="0"/>
        <w:numPr>
          <w:ilvl w:val="0"/>
          <w:numId w:val="16"/>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an interpreter is</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needed;</w:t>
      </w:r>
    </w:p>
    <w:p w:rsidR="005A2AAC" w:rsidRPr="00346C89" w:rsidRDefault="005A2AAC" w:rsidP="005A2AAC">
      <w:pPr>
        <w:widowControl w:val="0"/>
        <w:numPr>
          <w:ilvl w:val="0"/>
          <w:numId w:val="16"/>
        </w:numPr>
        <w:tabs>
          <w:tab w:val="left" w:pos="1201"/>
        </w:tabs>
        <w:autoSpaceDE w:val="0"/>
        <w:autoSpaceDN w:val="0"/>
        <w:spacing w:before="120"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the communication needs of the witness: identifying the level of the witness’s comprehension, and whether any communication aids or other reasonable adjustments are required (in certain cases it may assist the court to be provided with any expert report addressing these issues and any other relevant issues mentioned in paragraph 11);</w:t>
      </w:r>
      <w:r w:rsidRPr="00346C89">
        <w:rPr>
          <w:rFonts w:ascii="Palatino Linotype" w:eastAsia="Palatino Linotype" w:hAnsi="Palatino Linotype" w:cs="Palatino Linotype"/>
          <w:spacing w:val="-2"/>
          <w:sz w:val="24"/>
          <w:lang w:val="en-US" w:eastAsia="en-US"/>
        </w:rPr>
        <w:t xml:space="preserve"> </w:t>
      </w:r>
      <w:r w:rsidRPr="00346C89">
        <w:rPr>
          <w:rFonts w:ascii="Palatino Linotype" w:eastAsia="Palatino Linotype" w:hAnsi="Palatino Linotype" w:cs="Palatino Linotype"/>
          <w:sz w:val="24"/>
          <w:lang w:val="en-US" w:eastAsia="en-US"/>
        </w:rPr>
        <w:t>and</w:t>
      </w:r>
    </w:p>
    <w:p w:rsidR="005A2AAC" w:rsidRPr="00346C89" w:rsidRDefault="005A2AAC" w:rsidP="005A2AAC">
      <w:pPr>
        <w:widowControl w:val="0"/>
        <w:numPr>
          <w:ilvl w:val="0"/>
          <w:numId w:val="16"/>
        </w:numPr>
        <w:tabs>
          <w:tab w:val="left" w:pos="1201"/>
        </w:tabs>
        <w:autoSpaceDE w:val="0"/>
        <w:autoSpaceDN w:val="0"/>
        <w:spacing w:before="120" w:after="0" w:line="240" w:lineRule="auto"/>
        <w:ind w:right="124"/>
        <w:jc w:val="both"/>
        <w:rPr>
          <w:rFonts w:ascii="Palatino Linotype" w:eastAsia="Palatino Linotype" w:hAnsi="Palatino Linotype" w:cs="Palatino Linotype"/>
          <w:sz w:val="24"/>
          <w:lang w:val="en-US" w:eastAsia="en-US"/>
        </w:rPr>
      </w:pPr>
      <w:proofErr w:type="gramStart"/>
      <w:r w:rsidRPr="00346C89">
        <w:rPr>
          <w:rFonts w:ascii="Palatino Linotype" w:eastAsia="Palatino Linotype" w:hAnsi="Palatino Linotype" w:cs="Palatino Linotype"/>
          <w:sz w:val="24"/>
          <w:lang w:val="en-US" w:eastAsia="en-US"/>
        </w:rPr>
        <w:t>estimate</w:t>
      </w:r>
      <w:proofErr w:type="gramEnd"/>
      <w:r w:rsidRPr="00346C89">
        <w:rPr>
          <w:rFonts w:ascii="Palatino Linotype" w:eastAsia="Palatino Linotype" w:hAnsi="Palatino Linotype" w:cs="Palatino Linotype"/>
          <w:sz w:val="24"/>
          <w:lang w:val="en-US" w:eastAsia="en-US"/>
        </w:rPr>
        <w:t xml:space="preserve"> the likely length of the examination in chief and cross examination.</w:t>
      </w:r>
    </w:p>
    <w:p w:rsidR="005A2AAC" w:rsidRDefault="005A2AAC" w:rsidP="005A2AAC">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p>
    <w:p w:rsidR="005A2AAC" w:rsidRPr="00346C89" w:rsidRDefault="005A2AAC" w:rsidP="005A2AAC">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Decision on the application at preliminary hearing</w:t>
      </w:r>
    </w:p>
    <w:p w:rsidR="005A2AAC" w:rsidRPr="00346C89" w:rsidRDefault="005A2AAC" w:rsidP="005A2AAC">
      <w:pPr>
        <w:widowControl w:val="0"/>
        <w:autoSpaceDE w:val="0"/>
        <w:autoSpaceDN w:val="0"/>
        <w:spacing w:before="3" w:after="0" w:line="240" w:lineRule="auto"/>
        <w:rPr>
          <w:rFonts w:ascii="Palatino Linotype" w:eastAsia="Palatino Linotype" w:hAnsi="Palatino Linotype" w:cs="Palatino Linotype"/>
          <w:b/>
          <w:sz w:val="24"/>
          <w:szCs w:val="24"/>
          <w:lang w:val="en-US" w:eastAsia="en-US"/>
        </w:rPr>
      </w:pPr>
    </w:p>
    <w:p w:rsidR="005A2AAC" w:rsidRPr="00346C89" w:rsidRDefault="005A2AAC" w:rsidP="005A2AAC">
      <w:pPr>
        <w:widowControl w:val="0"/>
        <w:numPr>
          <w:ilvl w:val="0"/>
          <w:numId w:val="18"/>
        </w:numPr>
        <w:tabs>
          <w:tab w:val="left" w:pos="840"/>
          <w:tab w:val="left" w:pos="841"/>
        </w:tabs>
        <w:autoSpaceDE w:val="0"/>
        <w:autoSpaceDN w:val="0"/>
        <w:spacing w:after="0" w:line="240" w:lineRule="auto"/>
        <w:ind w:right="135"/>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the court appoints the VW notice or application to be disposed of at a hearing the solicitor must, forthwith, inform the Clerk of Justiciary and the Electronic Service Delivery Unit of Scottish Courts and Tribunals Service of the intention to seek authority to have the evidence of a vulnerable witness taken by a commissioner and check the availability of a suitable</w:t>
      </w:r>
      <w:r w:rsidRPr="00346C89">
        <w:rPr>
          <w:rFonts w:ascii="Palatino Linotype" w:eastAsia="Palatino Linotype" w:hAnsi="Palatino Linotype" w:cs="Palatino Linotype"/>
          <w:spacing w:val="-5"/>
          <w:sz w:val="24"/>
          <w:lang w:val="en-US" w:eastAsia="en-US"/>
        </w:rPr>
        <w:t xml:space="preserve"> </w:t>
      </w:r>
      <w:r w:rsidRPr="00346C89">
        <w:rPr>
          <w:rFonts w:ascii="Palatino Linotype" w:eastAsia="Palatino Linotype" w:hAnsi="Palatino Linotype" w:cs="Palatino Linotype"/>
          <w:sz w:val="24"/>
          <w:lang w:val="en-US" w:eastAsia="en-US"/>
        </w:rPr>
        <w:t>venue.</w:t>
      </w:r>
    </w:p>
    <w:p w:rsidR="005A2AAC" w:rsidRPr="00346C89" w:rsidRDefault="005A2AAC" w:rsidP="005A2AAC">
      <w:pPr>
        <w:widowControl w:val="0"/>
        <w:autoSpaceDE w:val="0"/>
        <w:autoSpaceDN w:val="0"/>
        <w:spacing w:before="13" w:after="0" w:line="240" w:lineRule="auto"/>
        <w:rPr>
          <w:rFonts w:ascii="Palatino Linotype" w:eastAsia="Palatino Linotype" w:hAnsi="Palatino Linotype" w:cs="Palatino Linotype"/>
          <w:sz w:val="23"/>
          <w:szCs w:val="24"/>
          <w:lang w:val="en-US" w:eastAsia="en-US"/>
        </w:rPr>
      </w:pPr>
    </w:p>
    <w:p w:rsidR="005A2AAC" w:rsidRPr="00346C89" w:rsidRDefault="005A2AAC" w:rsidP="005A2AAC">
      <w:pPr>
        <w:widowControl w:val="0"/>
        <w:numPr>
          <w:ilvl w:val="0"/>
          <w:numId w:val="18"/>
        </w:numPr>
        <w:tabs>
          <w:tab w:val="left" w:pos="841"/>
        </w:tabs>
        <w:autoSpaceDE w:val="0"/>
        <w:autoSpaceDN w:val="0"/>
        <w:spacing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At the hearing the court will expect to be addressed on all matters set out in the VW notice or application. Parties will be expected to be in a position to </w:t>
      </w:r>
      <w:r w:rsidRPr="00346C89">
        <w:rPr>
          <w:rFonts w:ascii="Palatino Linotype" w:eastAsia="Palatino Linotype" w:hAnsi="Palatino Linotype" w:cs="Palatino Linotype"/>
          <w:sz w:val="24"/>
          <w:lang w:val="en-US" w:eastAsia="en-US"/>
        </w:rPr>
        <w:lastRenderedPageBreak/>
        <w:t>assist the court in its consideration of the following</w:t>
      </w:r>
      <w:r w:rsidRPr="00346C89">
        <w:rPr>
          <w:rFonts w:ascii="Palatino Linotype" w:eastAsia="Palatino Linotype" w:hAnsi="Palatino Linotype" w:cs="Palatino Linotype"/>
          <w:spacing w:val="-24"/>
          <w:sz w:val="24"/>
          <w:lang w:val="en-US" w:eastAsia="en-US"/>
        </w:rPr>
        <w:t xml:space="preserve"> </w:t>
      </w:r>
      <w:r w:rsidRPr="00346C89">
        <w:rPr>
          <w:rFonts w:ascii="Palatino Linotype" w:eastAsia="Palatino Linotype" w:hAnsi="Palatino Linotype" w:cs="Palatino Linotype"/>
          <w:sz w:val="24"/>
          <w:lang w:val="en-US" w:eastAsia="en-US"/>
        </w:rPr>
        <w:t>matters:</w:t>
      </w: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5A2AAC" w:rsidRPr="00346C89" w:rsidRDefault="005A2AAC" w:rsidP="005A2AAC">
      <w:pPr>
        <w:widowControl w:val="0"/>
        <w:numPr>
          <w:ilvl w:val="0"/>
          <w:numId w:val="15"/>
        </w:numPr>
        <w:tabs>
          <w:tab w:val="left" w:pos="1200"/>
          <w:tab w:val="left" w:pos="120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the witness will affirm or take the</w:t>
      </w:r>
      <w:r w:rsidRPr="00346C89">
        <w:rPr>
          <w:rFonts w:ascii="Palatino Linotype" w:eastAsia="Palatino Linotype" w:hAnsi="Palatino Linotype" w:cs="Palatino Linotype"/>
          <w:spacing w:val="-12"/>
          <w:sz w:val="24"/>
          <w:lang w:val="en-US" w:eastAsia="en-US"/>
        </w:rPr>
        <w:t xml:space="preserve"> </w:t>
      </w:r>
      <w:r w:rsidRPr="00346C89">
        <w:rPr>
          <w:rFonts w:ascii="Palatino Linotype" w:eastAsia="Palatino Linotype" w:hAnsi="Palatino Linotype" w:cs="Palatino Linotype"/>
          <w:sz w:val="24"/>
          <w:lang w:val="en-US" w:eastAsia="en-US"/>
        </w:rPr>
        <w:t>oath;</w:t>
      </w:r>
    </w:p>
    <w:p w:rsidR="005A2AAC" w:rsidRPr="00346C89" w:rsidRDefault="005A2AAC" w:rsidP="005A2AAC">
      <w:pPr>
        <w:widowControl w:val="0"/>
        <w:numPr>
          <w:ilvl w:val="0"/>
          <w:numId w:val="15"/>
        </w:numPr>
        <w:tabs>
          <w:tab w:val="left" w:pos="1200"/>
          <w:tab w:val="left" w:pos="1201"/>
        </w:tabs>
        <w:autoSpaceDE w:val="0"/>
        <w:autoSpaceDN w:val="0"/>
        <w:spacing w:before="119" w:after="0" w:line="240" w:lineRule="auto"/>
        <w:ind w:right="120"/>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location of the commission which is the most suitable in the interests of the</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witness;</w:t>
      </w:r>
    </w:p>
    <w:p w:rsidR="005A2AAC" w:rsidRPr="00346C89" w:rsidRDefault="005A2AAC" w:rsidP="005A2AAC">
      <w:pPr>
        <w:widowControl w:val="0"/>
        <w:numPr>
          <w:ilvl w:val="0"/>
          <w:numId w:val="15"/>
        </w:numPr>
        <w:tabs>
          <w:tab w:val="left" w:pos="1200"/>
          <w:tab w:val="left" w:pos="1201"/>
        </w:tabs>
        <w:autoSpaceDE w:val="0"/>
        <w:autoSpaceDN w:val="0"/>
        <w:spacing w:before="117" w:after="0" w:line="240" w:lineRule="auto"/>
        <w:ind w:right="118"/>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timing of the commission which is the most suitable in the interests of the</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witness;</w:t>
      </w:r>
    </w:p>
    <w:p w:rsidR="005A2AAC" w:rsidRPr="00346C89" w:rsidRDefault="005A2AAC" w:rsidP="005A2AAC">
      <w:pPr>
        <w:widowControl w:val="0"/>
        <w:numPr>
          <w:ilvl w:val="0"/>
          <w:numId w:val="15"/>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pre-commission familiarisation with the</w:t>
      </w:r>
      <w:r w:rsidRPr="00346C89">
        <w:rPr>
          <w:rFonts w:ascii="Palatino Linotype" w:eastAsia="Palatino Linotype" w:hAnsi="Palatino Linotype" w:cs="Palatino Linotype"/>
          <w:spacing w:val="-18"/>
          <w:sz w:val="24"/>
          <w:lang w:val="en-US" w:eastAsia="en-US"/>
        </w:rPr>
        <w:t xml:space="preserve"> </w:t>
      </w:r>
      <w:r w:rsidRPr="00346C89">
        <w:rPr>
          <w:rFonts w:ascii="Palatino Linotype" w:eastAsia="Palatino Linotype" w:hAnsi="Palatino Linotype" w:cs="Palatino Linotype"/>
          <w:sz w:val="24"/>
          <w:lang w:val="en-US" w:eastAsia="en-US"/>
        </w:rPr>
        <w:t>location;</w:t>
      </w:r>
    </w:p>
    <w:p w:rsidR="005A2AAC" w:rsidRPr="00346C89" w:rsidRDefault="005A2AAC" w:rsidP="005A2AAC">
      <w:pPr>
        <w:widowControl w:val="0"/>
        <w:numPr>
          <w:ilvl w:val="0"/>
          <w:numId w:val="15"/>
        </w:numPr>
        <w:tabs>
          <w:tab w:val="left" w:pos="1200"/>
          <w:tab w:val="left" w:pos="1201"/>
        </w:tabs>
        <w:autoSpaceDE w:val="0"/>
        <w:autoSpaceDN w:val="0"/>
        <w:spacing w:before="120" w:after="0" w:line="240" w:lineRule="auto"/>
        <w:ind w:right="116"/>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where the accused is to observe the commission and how he is to communicate any instructions to his</w:t>
      </w:r>
      <w:r w:rsidRPr="00346C89">
        <w:rPr>
          <w:rFonts w:ascii="Palatino Linotype" w:eastAsia="Palatino Linotype" w:hAnsi="Palatino Linotype" w:cs="Palatino Linotype"/>
          <w:spacing w:val="-14"/>
          <w:sz w:val="24"/>
          <w:lang w:val="en-US" w:eastAsia="en-US"/>
        </w:rPr>
        <w:t xml:space="preserve"> </w:t>
      </w:r>
      <w:r w:rsidRPr="00346C89">
        <w:rPr>
          <w:rFonts w:ascii="Palatino Linotype" w:eastAsia="Palatino Linotype" w:hAnsi="Palatino Linotype" w:cs="Palatino Linotype"/>
          <w:sz w:val="24"/>
          <w:lang w:val="en-US" w:eastAsia="en-US"/>
        </w:rPr>
        <w:t>advisors;</w:t>
      </w:r>
    </w:p>
    <w:p w:rsidR="005A2AAC" w:rsidRPr="00346C89" w:rsidRDefault="005A2AAC" w:rsidP="005A2AAC">
      <w:pPr>
        <w:widowControl w:val="0"/>
        <w:numPr>
          <w:ilvl w:val="0"/>
          <w:numId w:val="15"/>
        </w:numPr>
        <w:tabs>
          <w:tab w:val="left" w:pos="1201"/>
        </w:tabs>
        <w:autoSpaceDE w:val="0"/>
        <w:autoSpaceDN w:val="0"/>
        <w:spacing w:before="120" w:after="0" w:line="240" w:lineRule="auto"/>
        <w:ind w:right="11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the commission is to take place within a court building in which the witness and the accused will both be present, what arrangements will be put in place to ensure that they do not come into contact with each</w:t>
      </w:r>
      <w:r w:rsidRPr="00346C89">
        <w:rPr>
          <w:rFonts w:ascii="Palatino Linotype" w:eastAsia="Palatino Linotype" w:hAnsi="Palatino Linotype" w:cs="Palatino Linotype"/>
          <w:spacing w:val="-2"/>
          <w:sz w:val="24"/>
          <w:lang w:val="en-US" w:eastAsia="en-US"/>
        </w:rPr>
        <w:t xml:space="preserve"> </w:t>
      </w:r>
      <w:r w:rsidRPr="00346C89">
        <w:rPr>
          <w:rFonts w:ascii="Palatino Linotype" w:eastAsia="Palatino Linotype" w:hAnsi="Palatino Linotype" w:cs="Palatino Linotype"/>
          <w:sz w:val="24"/>
          <w:lang w:val="en-US" w:eastAsia="en-US"/>
        </w:rPr>
        <w:t>other;</w:t>
      </w:r>
    </w:p>
    <w:p w:rsidR="005A2AAC" w:rsidRPr="00346C89" w:rsidRDefault="005A2AAC" w:rsidP="005A2AAC">
      <w:pPr>
        <w:widowControl w:val="0"/>
        <w:numPr>
          <w:ilvl w:val="0"/>
          <w:numId w:val="15"/>
        </w:numPr>
        <w:tabs>
          <w:tab w:val="left" w:pos="1200"/>
          <w:tab w:val="left" w:pos="1201"/>
        </w:tabs>
        <w:autoSpaceDE w:val="0"/>
        <w:autoSpaceDN w:val="0"/>
        <w:spacing w:before="114" w:after="0" w:line="322" w:lineRule="exact"/>
        <w:ind w:right="124"/>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reasonable adjustments which may be required to enable effective participation by the</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witness;</w:t>
      </w:r>
    </w:p>
    <w:p w:rsidR="005A2AAC" w:rsidRPr="00346C89" w:rsidRDefault="005A2AAC" w:rsidP="005A2AAC">
      <w:pPr>
        <w:widowControl w:val="0"/>
        <w:numPr>
          <w:ilvl w:val="0"/>
          <w:numId w:val="15"/>
        </w:numPr>
        <w:tabs>
          <w:tab w:val="left" w:pos="1200"/>
          <w:tab w:val="left" w:pos="1201"/>
        </w:tabs>
        <w:autoSpaceDE w:val="0"/>
        <w:autoSpaceDN w:val="0"/>
        <w:spacing w:before="127" w:after="0" w:line="240" w:lineRule="auto"/>
        <w:ind w:right="118"/>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appropriate form of questions to be asked (the court may consider asking parties to prepare questions in</w:t>
      </w:r>
      <w:r w:rsidRPr="00346C89">
        <w:rPr>
          <w:rFonts w:ascii="Palatino Linotype" w:eastAsia="Palatino Linotype" w:hAnsi="Palatino Linotype" w:cs="Palatino Linotype"/>
          <w:spacing w:val="-17"/>
          <w:sz w:val="24"/>
          <w:lang w:val="en-US" w:eastAsia="en-US"/>
        </w:rPr>
        <w:t xml:space="preserve"> </w:t>
      </w:r>
      <w:r w:rsidRPr="00346C89">
        <w:rPr>
          <w:rFonts w:ascii="Palatino Linotype" w:eastAsia="Palatino Linotype" w:hAnsi="Palatino Linotype" w:cs="Palatino Linotype"/>
          <w:sz w:val="24"/>
          <w:lang w:val="en-US" w:eastAsia="en-US"/>
        </w:rPr>
        <w:t>writing);</w:t>
      </w:r>
    </w:p>
    <w:p w:rsidR="005A2AAC" w:rsidRPr="00346C89" w:rsidRDefault="005A2AAC" w:rsidP="005A2AAC">
      <w:pPr>
        <w:widowControl w:val="0"/>
        <w:numPr>
          <w:ilvl w:val="0"/>
          <w:numId w:val="15"/>
        </w:numPr>
        <w:tabs>
          <w:tab w:val="left" w:pos="1200"/>
          <w:tab w:val="left" w:pos="1201"/>
        </w:tabs>
        <w:autoSpaceDE w:val="0"/>
        <w:autoSpaceDN w:val="0"/>
        <w:spacing w:before="120" w:after="0" w:line="240" w:lineRule="auto"/>
        <w:ind w:right="118"/>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length of examination-in-chief and cross examination, and whether breaks may be</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required;</w:t>
      </w:r>
    </w:p>
    <w:p w:rsidR="005A2AAC" w:rsidRPr="00346C89" w:rsidRDefault="005A2AAC" w:rsidP="005A2AAC">
      <w:pPr>
        <w:widowControl w:val="0"/>
        <w:numPr>
          <w:ilvl w:val="0"/>
          <w:numId w:val="15"/>
        </w:numPr>
        <w:tabs>
          <w:tab w:val="left" w:pos="1200"/>
          <w:tab w:val="left" w:pos="1201"/>
        </w:tabs>
        <w:autoSpaceDE w:val="0"/>
        <w:autoSpaceDN w:val="0"/>
        <w:spacing w:before="120" w:after="0" w:line="240" w:lineRule="auto"/>
        <w:ind w:right="120"/>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how requests for unscheduled breaks may be notified and dealt with;</w:t>
      </w:r>
    </w:p>
    <w:p w:rsidR="005A2AAC" w:rsidRPr="00346C89" w:rsidRDefault="005A2AAC" w:rsidP="005A2AAC">
      <w:pPr>
        <w:widowControl w:val="0"/>
        <w:numPr>
          <w:ilvl w:val="0"/>
          <w:numId w:val="15"/>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potential objections, and whether they can be</w:t>
      </w:r>
      <w:r w:rsidRPr="00346C89">
        <w:rPr>
          <w:rFonts w:ascii="Palatino Linotype" w:eastAsia="Palatino Linotype" w:hAnsi="Palatino Linotype" w:cs="Palatino Linotype"/>
          <w:spacing w:val="-9"/>
          <w:sz w:val="24"/>
          <w:lang w:val="en-US" w:eastAsia="en-US"/>
        </w:rPr>
        <w:t xml:space="preserve"> </w:t>
      </w:r>
      <w:r w:rsidRPr="00346C89">
        <w:rPr>
          <w:rFonts w:ascii="Palatino Linotype" w:eastAsia="Palatino Linotype" w:hAnsi="Palatino Linotype" w:cs="Palatino Linotype"/>
          <w:sz w:val="24"/>
          <w:lang w:val="en-US" w:eastAsia="en-US"/>
        </w:rPr>
        <w:t>avoided;</w:t>
      </w:r>
    </w:p>
    <w:p w:rsidR="005A2AAC" w:rsidRPr="00346C89" w:rsidRDefault="005A2AAC" w:rsidP="005A2AAC">
      <w:pPr>
        <w:widowControl w:val="0"/>
        <w:numPr>
          <w:ilvl w:val="0"/>
          <w:numId w:val="15"/>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lines of inquiry to be</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pursued;</w:t>
      </w:r>
    </w:p>
    <w:p w:rsidR="005A2AAC" w:rsidRPr="00346C89" w:rsidRDefault="005A2AAC" w:rsidP="005A2AAC">
      <w:pPr>
        <w:widowControl w:val="0"/>
        <w:numPr>
          <w:ilvl w:val="0"/>
          <w:numId w:val="15"/>
        </w:numPr>
        <w:tabs>
          <w:tab w:val="left" w:pos="1200"/>
          <w:tab w:val="left" w:pos="1201"/>
        </w:tabs>
        <w:autoSpaceDE w:val="0"/>
        <w:autoSpaceDN w:val="0"/>
        <w:spacing w:before="114" w:after="0" w:line="322" w:lineRule="exact"/>
        <w:ind w:right="116"/>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scope of any questioning permitted under s275 of the 1995 Act, and how it is to be</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addressed;</w:t>
      </w:r>
    </w:p>
    <w:p w:rsidR="005A2AAC" w:rsidRPr="00346C89" w:rsidRDefault="005A2AAC" w:rsidP="005A2AAC">
      <w:pPr>
        <w:widowControl w:val="0"/>
        <w:numPr>
          <w:ilvl w:val="0"/>
          <w:numId w:val="15"/>
        </w:numPr>
        <w:tabs>
          <w:tab w:val="left" w:pos="1200"/>
          <w:tab w:val="left" w:pos="1201"/>
        </w:tabs>
        <w:autoSpaceDE w:val="0"/>
        <w:autoSpaceDN w:val="0"/>
        <w:spacing w:before="227"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scope of any questions relating to prior</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statements;</w:t>
      </w:r>
    </w:p>
    <w:p w:rsidR="005A2AAC" w:rsidRPr="00346C89" w:rsidRDefault="005A2AAC" w:rsidP="005A2AAC">
      <w:pPr>
        <w:widowControl w:val="0"/>
        <w:numPr>
          <w:ilvl w:val="0"/>
          <w:numId w:val="15"/>
        </w:numPr>
        <w:tabs>
          <w:tab w:val="left" w:pos="1201"/>
        </w:tabs>
        <w:autoSpaceDE w:val="0"/>
        <w:autoSpaceDN w:val="0"/>
        <w:spacing w:before="120" w:after="0" w:line="240" w:lineRule="auto"/>
        <w:ind w:right="119"/>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where any documents or label productions are to be put to the witness, how this is to be managed and whether any special equipment or assistance is</w:t>
      </w:r>
      <w:r w:rsidRPr="00346C89">
        <w:rPr>
          <w:rFonts w:ascii="Palatino Linotype" w:eastAsia="Palatino Linotype" w:hAnsi="Palatino Linotype" w:cs="Palatino Linotype"/>
          <w:spacing w:val="-11"/>
          <w:sz w:val="24"/>
          <w:lang w:val="en-US" w:eastAsia="en-US"/>
        </w:rPr>
        <w:t xml:space="preserve"> </w:t>
      </w:r>
      <w:r w:rsidRPr="00346C89">
        <w:rPr>
          <w:rFonts w:ascii="Palatino Linotype" w:eastAsia="Palatino Linotype" w:hAnsi="Palatino Linotype" w:cs="Palatino Linotype"/>
          <w:sz w:val="24"/>
          <w:lang w:val="en-US" w:eastAsia="en-US"/>
        </w:rPr>
        <w:t>required;</w:t>
      </w:r>
    </w:p>
    <w:p w:rsidR="005A2AAC" w:rsidRPr="00346C89" w:rsidRDefault="005A2AAC" w:rsidP="005A2AAC">
      <w:pPr>
        <w:widowControl w:val="0"/>
        <w:numPr>
          <w:ilvl w:val="0"/>
          <w:numId w:val="15"/>
        </w:numPr>
        <w:tabs>
          <w:tab w:val="left" w:pos="1201"/>
        </w:tabs>
        <w:autoSpaceDE w:val="0"/>
        <w:autoSpaceDN w:val="0"/>
        <w:spacing w:before="114" w:after="0" w:line="322" w:lineRule="exact"/>
        <w:ind w:right="121"/>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any special equipment (for example, to show CCTV  images to the witness) may be</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required;</w:t>
      </w:r>
    </w:p>
    <w:p w:rsidR="005A2AAC" w:rsidRPr="00346C89" w:rsidRDefault="005A2AAC" w:rsidP="005A2AAC">
      <w:pPr>
        <w:widowControl w:val="0"/>
        <w:numPr>
          <w:ilvl w:val="0"/>
          <w:numId w:val="15"/>
        </w:numPr>
        <w:tabs>
          <w:tab w:val="left" w:pos="1201"/>
        </w:tabs>
        <w:autoSpaceDE w:val="0"/>
        <w:autoSpaceDN w:val="0"/>
        <w:spacing w:before="127"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scope for any further agreement between the parties which might shorten the length of the commission or the issues to be addressed;</w:t>
      </w:r>
    </w:p>
    <w:p w:rsidR="005A2AAC" w:rsidRDefault="005A2AAC" w:rsidP="005A2AAC">
      <w:pPr>
        <w:widowControl w:val="0"/>
        <w:numPr>
          <w:ilvl w:val="0"/>
          <w:numId w:val="15"/>
        </w:numPr>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where there are multiple accused, how repetitious questioning may be</w:t>
      </w:r>
      <w:r w:rsidRPr="00346C89">
        <w:rPr>
          <w:rFonts w:ascii="Palatino Linotype" w:eastAsia="Palatino Linotype" w:hAnsi="Palatino Linotype" w:cs="Palatino Linotype"/>
          <w:spacing w:val="-4"/>
          <w:sz w:val="24"/>
          <w:lang w:val="en-US" w:eastAsia="en-US"/>
        </w:rPr>
        <w:t xml:space="preserve"> </w:t>
      </w:r>
      <w:r w:rsidRPr="00346C89">
        <w:rPr>
          <w:rFonts w:ascii="Palatino Linotype" w:eastAsia="Palatino Linotype" w:hAnsi="Palatino Linotype" w:cs="Palatino Linotype"/>
          <w:sz w:val="24"/>
          <w:lang w:val="en-US" w:eastAsia="en-US"/>
        </w:rPr>
        <w:t>avoided;</w:t>
      </w:r>
    </w:p>
    <w:p w:rsidR="005A2AAC" w:rsidRDefault="005A2AAC" w:rsidP="005A2AAC">
      <w:pPr>
        <w:widowControl w:val="0"/>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p>
    <w:p w:rsidR="005A2AAC" w:rsidRPr="00346C89" w:rsidRDefault="005A2AAC" w:rsidP="005A2AAC">
      <w:pPr>
        <w:widowControl w:val="0"/>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p>
    <w:p w:rsidR="005A2AAC" w:rsidRPr="00346C89" w:rsidRDefault="005A2AAC" w:rsidP="005A2AAC">
      <w:pPr>
        <w:widowControl w:val="0"/>
        <w:numPr>
          <w:ilvl w:val="0"/>
          <w:numId w:val="15"/>
        </w:numPr>
        <w:tabs>
          <w:tab w:val="left" w:pos="1201"/>
        </w:tabs>
        <w:autoSpaceDE w:val="0"/>
        <w:autoSpaceDN w:val="0"/>
        <w:spacing w:before="120" w:after="0" w:line="240" w:lineRule="auto"/>
        <w:ind w:right="11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the extent to which it is necessary to “put the defence case” to the witness (parties are invited to have regard to the observations of  the Court of Appeal in </w:t>
      </w:r>
      <w:r w:rsidRPr="00346C89">
        <w:rPr>
          <w:rFonts w:ascii="Palatino Linotype" w:eastAsia="Palatino Linotype" w:hAnsi="Palatino Linotype" w:cs="Palatino Linotype"/>
          <w:i/>
          <w:sz w:val="24"/>
          <w:lang w:val="en-US" w:eastAsia="en-US"/>
        </w:rPr>
        <w:t xml:space="preserve">R v </w:t>
      </w:r>
      <w:proofErr w:type="spellStart"/>
      <w:r w:rsidRPr="00346C89">
        <w:rPr>
          <w:rFonts w:ascii="Palatino Linotype" w:eastAsia="Palatino Linotype" w:hAnsi="Palatino Linotype" w:cs="Palatino Linotype"/>
          <w:i/>
          <w:sz w:val="24"/>
          <w:lang w:val="en-US" w:eastAsia="en-US"/>
        </w:rPr>
        <w:t>Lubemba</w:t>
      </w:r>
      <w:proofErr w:type="spellEnd"/>
      <w:r w:rsidRPr="00346C89">
        <w:rPr>
          <w:rFonts w:ascii="Palatino Linotype" w:eastAsia="Palatino Linotype" w:hAnsi="Palatino Linotype" w:cs="Palatino Linotype"/>
          <w:i/>
          <w:sz w:val="24"/>
          <w:lang w:val="en-US" w:eastAsia="en-US"/>
        </w:rPr>
        <w:t xml:space="preserve"> </w:t>
      </w:r>
      <w:r w:rsidRPr="00346C89">
        <w:rPr>
          <w:rFonts w:ascii="Palatino Linotype" w:eastAsia="Palatino Linotype" w:hAnsi="Palatino Linotype" w:cs="Palatino Linotype"/>
          <w:sz w:val="24"/>
          <w:lang w:val="en-US" w:eastAsia="en-US"/>
        </w:rPr>
        <w:t xml:space="preserve">[2015] 1 WLR 1579 and </w:t>
      </w:r>
      <w:r w:rsidRPr="00346C89">
        <w:rPr>
          <w:rFonts w:ascii="Palatino Linotype" w:eastAsia="Palatino Linotype" w:hAnsi="Palatino Linotype" w:cs="Palatino Linotype"/>
          <w:i/>
          <w:sz w:val="24"/>
          <w:lang w:val="en-US" w:eastAsia="en-US"/>
        </w:rPr>
        <w:t xml:space="preserve">R v Barker </w:t>
      </w:r>
      <w:r w:rsidRPr="00346C89">
        <w:rPr>
          <w:rFonts w:ascii="Palatino Linotype" w:eastAsia="Palatino Linotype" w:hAnsi="Palatino Linotype" w:cs="Palatino Linotype"/>
          <w:sz w:val="24"/>
          <w:lang w:val="en-US" w:eastAsia="en-US"/>
        </w:rPr>
        <w:t>[2011] Criminal LR</w:t>
      </w:r>
      <w:r w:rsidRPr="00346C89">
        <w:rPr>
          <w:rFonts w:ascii="Palatino Linotype" w:eastAsia="Palatino Linotype" w:hAnsi="Palatino Linotype" w:cs="Palatino Linotype"/>
          <w:spacing w:val="-11"/>
          <w:sz w:val="24"/>
          <w:lang w:val="en-US" w:eastAsia="en-US"/>
        </w:rPr>
        <w:t xml:space="preserve"> </w:t>
      </w:r>
      <w:r w:rsidRPr="00346C89">
        <w:rPr>
          <w:rFonts w:ascii="Palatino Linotype" w:eastAsia="Palatino Linotype" w:hAnsi="Palatino Linotype" w:cs="Palatino Linotype"/>
          <w:sz w:val="24"/>
          <w:lang w:val="en-US" w:eastAsia="en-US"/>
        </w:rPr>
        <w:t>233);</w:t>
      </w:r>
    </w:p>
    <w:p w:rsidR="005A2AAC" w:rsidRPr="00346C89" w:rsidRDefault="005A2AAC" w:rsidP="005A2AAC">
      <w:pPr>
        <w:widowControl w:val="0"/>
        <w:numPr>
          <w:ilvl w:val="0"/>
          <w:numId w:val="15"/>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how that is to be</w:t>
      </w:r>
      <w:r w:rsidRPr="00346C89">
        <w:rPr>
          <w:rFonts w:ascii="Palatino Linotype" w:eastAsia="Palatino Linotype" w:hAnsi="Palatino Linotype" w:cs="Palatino Linotype"/>
          <w:spacing w:val="-9"/>
          <w:sz w:val="24"/>
          <w:lang w:val="en-US" w:eastAsia="en-US"/>
        </w:rPr>
        <w:t xml:space="preserve"> </w:t>
      </w:r>
      <w:r w:rsidRPr="00346C89">
        <w:rPr>
          <w:rFonts w:ascii="Palatino Linotype" w:eastAsia="Palatino Linotype" w:hAnsi="Palatino Linotype" w:cs="Palatino Linotype"/>
          <w:sz w:val="24"/>
          <w:lang w:val="en-US" w:eastAsia="en-US"/>
        </w:rPr>
        <w:t>done;</w:t>
      </w:r>
    </w:p>
    <w:p w:rsidR="005A2AAC" w:rsidRPr="00346C89" w:rsidRDefault="005A2AAC" w:rsidP="005A2AAC">
      <w:pPr>
        <w:widowControl w:val="0"/>
        <w:numPr>
          <w:ilvl w:val="0"/>
          <w:numId w:val="15"/>
        </w:numPr>
        <w:tabs>
          <w:tab w:val="left" w:pos="1201"/>
        </w:tabs>
        <w:autoSpaceDE w:val="0"/>
        <w:autoSpaceDN w:val="0"/>
        <w:spacing w:before="117" w:after="0" w:line="240" w:lineRule="auto"/>
        <w:ind w:right="121"/>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the parties have agreed how this issue may be addressed  in due course for the purposes of the</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jury;</w:t>
      </w:r>
    </w:p>
    <w:p w:rsidR="005A2AAC" w:rsidRPr="00346C89" w:rsidRDefault="005A2AAC" w:rsidP="005A2AAC">
      <w:pPr>
        <w:widowControl w:val="0"/>
        <w:numPr>
          <w:ilvl w:val="0"/>
          <w:numId w:val="15"/>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any specific communication needs of the</w:t>
      </w:r>
      <w:r w:rsidRPr="00346C89">
        <w:rPr>
          <w:rFonts w:ascii="Palatino Linotype" w:eastAsia="Palatino Linotype" w:hAnsi="Palatino Linotype" w:cs="Palatino Linotype"/>
          <w:spacing w:val="-14"/>
          <w:sz w:val="24"/>
          <w:lang w:val="en-US" w:eastAsia="en-US"/>
        </w:rPr>
        <w:t xml:space="preserve"> </w:t>
      </w:r>
      <w:r w:rsidRPr="00346C89">
        <w:rPr>
          <w:rFonts w:ascii="Palatino Linotype" w:eastAsia="Palatino Linotype" w:hAnsi="Palatino Linotype" w:cs="Palatino Linotype"/>
          <w:sz w:val="24"/>
          <w:lang w:val="en-US" w:eastAsia="en-US"/>
        </w:rPr>
        <w:t>witness;</w:t>
      </w:r>
    </w:p>
    <w:p w:rsidR="005A2AAC" w:rsidRPr="00346C89" w:rsidRDefault="005A2AAC" w:rsidP="005A2AAC">
      <w:pPr>
        <w:widowControl w:val="0"/>
        <w:numPr>
          <w:ilvl w:val="0"/>
          <w:numId w:val="15"/>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any communication aids are required, e.g. “body</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maps”;</w:t>
      </w:r>
    </w:p>
    <w:p w:rsidR="005A2AAC" w:rsidRPr="00346C89" w:rsidRDefault="005A2AAC" w:rsidP="005A2AAC">
      <w:pPr>
        <w:widowControl w:val="0"/>
        <w:numPr>
          <w:ilvl w:val="0"/>
          <w:numId w:val="15"/>
        </w:numPr>
        <w:tabs>
          <w:tab w:val="left" w:pos="1201"/>
        </w:tabs>
        <w:autoSpaceDE w:val="0"/>
        <w:autoSpaceDN w:val="0"/>
        <w:spacing w:before="119" w:after="0" w:line="240" w:lineRule="auto"/>
        <w:ind w:right="118"/>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a statement in whatever form is to be used as the evidence in  chief of the witness, whether and what arrangements should be made for the witness to see this in advance of the commission (i.e. how, where, and</w:t>
      </w:r>
      <w:r w:rsidRPr="00346C89">
        <w:rPr>
          <w:rFonts w:ascii="Palatino Linotype" w:eastAsia="Palatino Linotype" w:hAnsi="Palatino Linotype" w:cs="Palatino Linotype"/>
          <w:spacing w:val="-3"/>
          <w:sz w:val="24"/>
          <w:lang w:val="en-US" w:eastAsia="en-US"/>
        </w:rPr>
        <w:t xml:space="preserve"> </w:t>
      </w:r>
      <w:r w:rsidRPr="00346C89">
        <w:rPr>
          <w:rFonts w:ascii="Palatino Linotype" w:eastAsia="Palatino Linotype" w:hAnsi="Palatino Linotype" w:cs="Palatino Linotype"/>
          <w:sz w:val="24"/>
          <w:lang w:val="en-US" w:eastAsia="en-US"/>
        </w:rPr>
        <w:t>when);</w:t>
      </w:r>
    </w:p>
    <w:p w:rsidR="005A2AAC" w:rsidRPr="00346C89" w:rsidRDefault="005A2AAC" w:rsidP="005A2AAC">
      <w:pPr>
        <w:widowControl w:val="0"/>
        <w:numPr>
          <w:ilvl w:val="0"/>
          <w:numId w:val="15"/>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any such statement requires to be redacted in any</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way;</w:t>
      </w:r>
    </w:p>
    <w:p w:rsidR="005A2AAC" w:rsidRPr="00346C89" w:rsidRDefault="005A2AAC" w:rsidP="005A2AAC">
      <w:pPr>
        <w:widowControl w:val="0"/>
        <w:numPr>
          <w:ilvl w:val="0"/>
          <w:numId w:val="15"/>
        </w:numPr>
        <w:tabs>
          <w:tab w:val="left" w:pos="1201"/>
        </w:tabs>
        <w:autoSpaceDE w:val="0"/>
        <w:autoSpaceDN w:val="0"/>
        <w:spacing w:before="114" w:after="0" w:line="322" w:lineRule="exact"/>
        <w:ind w:right="12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in such a case, whether, and to what extent, there should be any examination in chief of the</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witness;</w:t>
      </w:r>
    </w:p>
    <w:p w:rsidR="005A2AAC" w:rsidRPr="00346C89" w:rsidRDefault="005A2AAC" w:rsidP="005A2AAC">
      <w:pPr>
        <w:widowControl w:val="0"/>
        <w:numPr>
          <w:ilvl w:val="0"/>
          <w:numId w:val="15"/>
        </w:numPr>
        <w:tabs>
          <w:tab w:val="left" w:pos="1201"/>
        </w:tabs>
        <w:autoSpaceDE w:val="0"/>
        <w:autoSpaceDN w:val="0"/>
        <w:spacing w:before="128" w:after="0" w:line="240" w:lineRule="auto"/>
        <w:ind w:right="118"/>
        <w:jc w:val="both"/>
        <w:rPr>
          <w:rFonts w:ascii="Palatino Linotype" w:eastAsia="Palatino Linotype" w:hAnsi="Palatino Linotype" w:cs="Palatino Linotype"/>
          <w:sz w:val="14"/>
          <w:lang w:val="en-US" w:eastAsia="en-US"/>
        </w:rPr>
      </w:pPr>
      <w:r w:rsidRPr="00346C89">
        <w:rPr>
          <w:rFonts w:ascii="Palatino Linotype" w:eastAsia="Palatino Linotype" w:hAnsi="Palatino Linotype" w:cs="Palatino Linotype"/>
          <w:sz w:val="24"/>
          <w:lang w:val="en-US" w:eastAsia="en-US"/>
        </w:rPr>
        <w:t>the court may also make directions as to the circumstances in which visually recorded prior statements may be made available to the defence;</w:t>
      </w:r>
      <w:r w:rsidRPr="00346C89">
        <w:rPr>
          <w:rFonts w:ascii="Palatino Linotype" w:eastAsia="Palatino Linotype" w:hAnsi="Palatino Linotype" w:cs="Palatino Linotype"/>
          <w:position w:val="7"/>
          <w:sz w:val="14"/>
          <w:lang w:val="en-US" w:eastAsia="en-US"/>
        </w:rPr>
        <w:t>a</w:t>
      </w:r>
    </w:p>
    <w:p w:rsidR="005A2AAC" w:rsidRPr="00346C89" w:rsidRDefault="005A2AAC" w:rsidP="005A2AAC">
      <w:pPr>
        <w:widowControl w:val="0"/>
        <w:numPr>
          <w:ilvl w:val="0"/>
          <w:numId w:val="15"/>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wearing of wigs and</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gowns;</w:t>
      </w:r>
    </w:p>
    <w:p w:rsidR="005A2AAC" w:rsidRDefault="005A2AAC" w:rsidP="005A2AAC">
      <w:pPr>
        <w:widowControl w:val="0"/>
        <w:numPr>
          <w:ilvl w:val="0"/>
          <w:numId w:val="15"/>
        </w:numPr>
        <w:tabs>
          <w:tab w:val="left" w:pos="1201"/>
        </w:tabs>
        <w:autoSpaceDE w:val="0"/>
        <w:autoSpaceDN w:val="0"/>
        <w:spacing w:before="120" w:after="0" w:line="240" w:lineRule="auto"/>
        <w:ind w:right="11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whether the judge/parties should introduce themselves to </w:t>
      </w:r>
      <w:r w:rsidRPr="00346C89">
        <w:rPr>
          <w:rFonts w:ascii="Palatino Linotype" w:eastAsia="Palatino Linotype" w:hAnsi="Palatino Linotype" w:cs="Palatino Linotype"/>
          <w:spacing w:val="2"/>
          <w:sz w:val="24"/>
          <w:lang w:val="en-US" w:eastAsia="en-US"/>
        </w:rPr>
        <w:t xml:space="preserve">the </w:t>
      </w:r>
      <w:r w:rsidRPr="00346C89">
        <w:rPr>
          <w:rFonts w:ascii="Palatino Linotype" w:eastAsia="Palatino Linotype" w:hAnsi="Palatino Linotype" w:cs="Palatino Linotype"/>
          <w:sz w:val="24"/>
          <w:lang w:val="en-US" w:eastAsia="en-US"/>
        </w:rPr>
        <w:t>witness in advance, how and when this will take place, preferably together;</w:t>
      </w:r>
    </w:p>
    <w:p w:rsidR="005A2AAC" w:rsidRPr="009E37E5" w:rsidRDefault="005A2AAC" w:rsidP="005A2AAC">
      <w:pPr>
        <w:pStyle w:val="ListParagraph"/>
        <w:widowControl w:val="0"/>
        <w:numPr>
          <w:ilvl w:val="0"/>
          <w:numId w:val="15"/>
        </w:numPr>
        <w:autoSpaceDE w:val="0"/>
        <w:autoSpaceDN w:val="0"/>
        <w:spacing w:before="30" w:after="0" w:line="240" w:lineRule="auto"/>
        <w:rPr>
          <w:rFonts w:ascii="Palatino Linotype" w:eastAsia="Palatino Linotype" w:hAnsi="Palatino Linotype" w:cs="Palatino Linotype"/>
          <w:sz w:val="24"/>
          <w:lang w:val="en-US" w:eastAsia="en-US"/>
        </w:rPr>
      </w:pPr>
      <w:proofErr w:type="gramStart"/>
      <w:r w:rsidRPr="009E37E5">
        <w:rPr>
          <w:rFonts w:ascii="Palatino Linotype" w:eastAsia="Palatino Linotype" w:hAnsi="Palatino Linotype" w:cs="Palatino Linotype"/>
          <w:sz w:val="24"/>
          <w:lang w:val="en-US" w:eastAsia="en-US"/>
        </w:rPr>
        <w:t>the</w:t>
      </w:r>
      <w:proofErr w:type="gramEnd"/>
      <w:r w:rsidRPr="009E37E5">
        <w:rPr>
          <w:rFonts w:ascii="Palatino Linotype" w:eastAsia="Palatino Linotype" w:hAnsi="Palatino Linotype" w:cs="Palatino Linotype"/>
          <w:sz w:val="24"/>
          <w:lang w:val="en-US" w:eastAsia="en-US"/>
        </w:rPr>
        <w:t xml:space="preserve"> arrangements to be made in due course for parties to view the resultant DVD prior to a post-commission</w:t>
      </w:r>
      <w:r w:rsidRPr="009E37E5">
        <w:rPr>
          <w:rFonts w:ascii="Palatino Linotype" w:eastAsia="Palatino Linotype" w:hAnsi="Palatino Linotype" w:cs="Palatino Linotype"/>
          <w:spacing w:val="-14"/>
          <w:sz w:val="24"/>
          <w:lang w:val="en-US" w:eastAsia="en-US"/>
        </w:rPr>
        <w:t xml:space="preserve"> </w:t>
      </w:r>
      <w:r w:rsidRPr="009E37E5">
        <w:rPr>
          <w:rFonts w:ascii="Palatino Linotype" w:eastAsia="Palatino Linotype" w:hAnsi="Palatino Linotype" w:cs="Palatino Linotype"/>
          <w:sz w:val="24"/>
          <w:lang w:val="en-US" w:eastAsia="en-US"/>
        </w:rPr>
        <w:t>hearing.</w:t>
      </w:r>
    </w:p>
    <w:p w:rsidR="005A2AAC" w:rsidRDefault="005A2AAC" w:rsidP="005A2AAC">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5A2AAC" w:rsidRDefault="005A2AAC" w:rsidP="005A2AAC">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5A2AAC" w:rsidRDefault="005A2AAC" w:rsidP="005A2AAC">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5A2AAC" w:rsidRDefault="005A2AAC" w:rsidP="005A2AAC">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5A2AAC" w:rsidRDefault="005A2AAC" w:rsidP="005A2AAC">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5A2AAC" w:rsidRDefault="005A2AAC" w:rsidP="005A2AAC">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5A2AAC" w:rsidRPr="00346C89" w:rsidRDefault="005A2AAC" w:rsidP="005A2AAC">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20"/>
          <w:szCs w:val="24"/>
          <w:lang w:val="en-US" w:eastAsia="en-US"/>
        </w:rPr>
      </w:pPr>
    </w:p>
    <w:p w:rsidR="005A2AAC" w:rsidRPr="00346C89" w:rsidRDefault="005A2AAC" w:rsidP="005A2AAC">
      <w:pPr>
        <w:widowControl w:val="0"/>
        <w:autoSpaceDE w:val="0"/>
        <w:autoSpaceDN w:val="0"/>
        <w:spacing w:before="8" w:after="0" w:line="240" w:lineRule="auto"/>
        <w:rPr>
          <w:rFonts w:ascii="Palatino Linotype" w:eastAsia="Palatino Linotype" w:hAnsi="Palatino Linotype" w:cs="Palatino Linotype"/>
          <w:sz w:val="20"/>
          <w:szCs w:val="24"/>
          <w:lang w:val="en-US" w:eastAsia="en-US"/>
        </w:rPr>
      </w:pPr>
      <w:r>
        <w:rPr>
          <w:rFonts w:ascii="Palatino Linotype" w:eastAsia="Palatino Linotype" w:hAnsi="Palatino Linotype" w:cs="Palatino Linotype"/>
          <w:noProof/>
          <w:sz w:val="24"/>
          <w:szCs w:val="24"/>
        </w:rPr>
        <mc:AlternateContent>
          <mc:Choice Requires="wps">
            <w:drawing>
              <wp:anchor distT="0" distB="0" distL="0" distR="0" simplePos="0" relativeHeight="251659264" behindDoc="0" locked="0" layoutInCell="1" allowOverlap="1" wp14:anchorId="0263CDF6" wp14:editId="49E112D6">
                <wp:simplePos x="0" y="0"/>
                <wp:positionH relativeFrom="page">
                  <wp:posOffset>1143000</wp:posOffset>
                </wp:positionH>
                <wp:positionV relativeFrom="paragraph">
                  <wp:posOffset>205105</wp:posOffset>
                </wp:positionV>
                <wp:extent cx="1829435" cy="0"/>
                <wp:effectExtent l="9525" t="13335" r="889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15pt" to="23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nNEw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" strokeweight=".48pt">
                <w10:wrap type="topAndBottom" anchorx="page"/>
              </v:line>
            </w:pict>
          </mc:Fallback>
        </mc:AlternateContent>
      </w:r>
    </w:p>
    <w:p w:rsidR="005A2AAC" w:rsidRDefault="005A2AAC" w:rsidP="005A2AAC">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roofErr w:type="gramStart"/>
      <w:r w:rsidRPr="00346C89">
        <w:rPr>
          <w:rFonts w:ascii="Times New Roman" w:eastAsia="Palatino Linotype" w:hAnsi="Palatino Linotype" w:cs="Palatino Linotype"/>
          <w:position w:val="9"/>
          <w:sz w:val="13"/>
          <w:lang w:val="en-US" w:eastAsia="en-US"/>
        </w:rPr>
        <w:t xml:space="preserve">a  </w:t>
      </w:r>
      <w:r w:rsidRPr="00346C89">
        <w:rPr>
          <w:rFonts w:ascii="Times New Roman" w:eastAsia="Palatino Linotype" w:hAnsi="Palatino Linotype" w:cs="Palatino Linotype"/>
          <w:sz w:val="16"/>
          <w:lang w:val="en-US" w:eastAsia="en-US"/>
        </w:rPr>
        <w:t>HMA</w:t>
      </w:r>
      <w:proofErr w:type="gramEnd"/>
      <w:r w:rsidRPr="00346C89">
        <w:rPr>
          <w:rFonts w:ascii="Times New Roman" w:eastAsia="Palatino Linotype" w:hAnsi="Palatino Linotype" w:cs="Palatino Linotype"/>
          <w:sz w:val="16"/>
          <w:lang w:val="en-US" w:eastAsia="en-US"/>
        </w:rPr>
        <w:t xml:space="preserve"> v AM &amp; JM [2016] JC 127</w:t>
      </w:r>
    </w:p>
    <w:p w:rsidR="005A2AAC" w:rsidRDefault="005A2AAC" w:rsidP="005A2AAC">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5A2AAC" w:rsidRDefault="005A2AAC" w:rsidP="005A2AAC">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5A2AAC" w:rsidRDefault="005A2AAC" w:rsidP="005A2AAC">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5A2AAC" w:rsidRDefault="005A2AAC" w:rsidP="005A2AAC">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5A2AAC" w:rsidRDefault="005A2AAC" w:rsidP="005A2AAC">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5A2AAC" w:rsidRDefault="005A2AAC" w:rsidP="005A2AAC">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5A2AAC" w:rsidRPr="00346C89" w:rsidRDefault="005A2AAC" w:rsidP="005A2AAC">
      <w:pPr>
        <w:widowControl w:val="0"/>
        <w:autoSpaceDE w:val="0"/>
        <w:autoSpaceDN w:val="0"/>
        <w:spacing w:before="10" w:after="0" w:line="240" w:lineRule="auto"/>
        <w:rPr>
          <w:rFonts w:ascii="Palatino Linotype" w:eastAsia="Palatino Linotype" w:hAnsi="Palatino Linotype" w:cs="Palatino Linotype"/>
          <w:sz w:val="20"/>
          <w:szCs w:val="24"/>
          <w:lang w:val="en-US" w:eastAsia="en-US"/>
        </w:rPr>
      </w:pPr>
    </w:p>
    <w:p w:rsidR="005A2AAC" w:rsidRPr="00346C89" w:rsidRDefault="005A2AAC" w:rsidP="005A2AAC">
      <w:pPr>
        <w:widowControl w:val="0"/>
        <w:numPr>
          <w:ilvl w:val="0"/>
          <w:numId w:val="18"/>
        </w:numPr>
        <w:tabs>
          <w:tab w:val="left" w:pos="841"/>
        </w:tabs>
        <w:autoSpaceDE w:val="0"/>
        <w:autoSpaceDN w:val="0"/>
        <w:spacing w:before="1"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court may make directions about these matters, or any other matters which might affect the commission proceedings, or which may be required for the effective conduct of the commission. If combined special measures are sought, the court will address how this is to work in</w:t>
      </w:r>
      <w:r w:rsidRPr="00346C89">
        <w:rPr>
          <w:rFonts w:ascii="Palatino Linotype" w:eastAsia="Palatino Linotype" w:hAnsi="Palatino Linotype" w:cs="Palatino Linotype"/>
          <w:spacing w:val="-6"/>
          <w:sz w:val="24"/>
          <w:lang w:val="en-US" w:eastAsia="en-US"/>
        </w:rPr>
        <w:t xml:space="preserve"> </w:t>
      </w:r>
      <w:r w:rsidRPr="00346C89">
        <w:rPr>
          <w:rFonts w:ascii="Palatino Linotype" w:eastAsia="Palatino Linotype" w:hAnsi="Palatino Linotype" w:cs="Palatino Linotype"/>
          <w:sz w:val="24"/>
          <w:lang w:val="en-US" w:eastAsia="en-US"/>
        </w:rPr>
        <w:t>practice.</w:t>
      </w: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5A2AAC" w:rsidRPr="00346C89" w:rsidRDefault="005A2AAC" w:rsidP="005A2AAC">
      <w:pPr>
        <w:widowControl w:val="0"/>
        <w:numPr>
          <w:ilvl w:val="0"/>
          <w:numId w:val="18"/>
        </w:numPr>
        <w:tabs>
          <w:tab w:val="left" w:pos="841"/>
        </w:tabs>
        <w:autoSpaceDE w:val="0"/>
        <w:autoSpaceDN w:val="0"/>
        <w:spacing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At the hearing, whether or not a trial has been fixed, the court will consider fixing a post-commission hearing at which the court may address:</w:t>
      </w:r>
    </w:p>
    <w:p w:rsidR="005A2AAC" w:rsidRPr="00346C89" w:rsidRDefault="005A2AAC" w:rsidP="005A2AAC">
      <w:pPr>
        <w:widowControl w:val="0"/>
        <w:numPr>
          <w:ilvl w:val="0"/>
          <w:numId w:val="14"/>
        </w:numPr>
        <w:tabs>
          <w:tab w:val="left" w:pos="1201"/>
        </w:tabs>
        <w:autoSpaceDE w:val="0"/>
        <w:autoSpaceDN w:val="0"/>
        <w:spacing w:before="194" w:after="0" w:line="322" w:lineRule="exact"/>
        <w:ind w:right="12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any questions of admissibility which have been reserved at the commission;</w:t>
      </w:r>
    </w:p>
    <w:p w:rsidR="005A2AAC" w:rsidRPr="00346C89" w:rsidRDefault="005A2AAC" w:rsidP="005A2AAC">
      <w:pPr>
        <w:widowControl w:val="0"/>
        <w:numPr>
          <w:ilvl w:val="0"/>
          <w:numId w:val="14"/>
        </w:numPr>
        <w:tabs>
          <w:tab w:val="left" w:pos="1201"/>
        </w:tabs>
        <w:autoSpaceDE w:val="0"/>
        <w:autoSpaceDN w:val="0"/>
        <w:spacing w:before="128"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any editing of the video of the commission which may be proposed (parties may request that the clerk allow the recording to be viewed prior to the further hearing to assess the quality of the recording, and the court may specify the conditions under which such viewing may take</w:t>
      </w:r>
      <w:r w:rsidRPr="00346C89">
        <w:rPr>
          <w:rFonts w:ascii="Palatino Linotype" w:eastAsia="Palatino Linotype" w:hAnsi="Palatino Linotype" w:cs="Palatino Linotype"/>
          <w:spacing w:val="-3"/>
          <w:sz w:val="24"/>
          <w:lang w:val="en-US" w:eastAsia="en-US"/>
        </w:rPr>
        <w:t xml:space="preserve"> </w:t>
      </w:r>
      <w:r w:rsidRPr="00346C89">
        <w:rPr>
          <w:rFonts w:ascii="Palatino Linotype" w:eastAsia="Palatino Linotype" w:hAnsi="Palatino Linotype" w:cs="Palatino Linotype"/>
          <w:sz w:val="24"/>
          <w:lang w:val="en-US" w:eastAsia="en-US"/>
        </w:rPr>
        <w:t>place);</w:t>
      </w:r>
    </w:p>
    <w:p w:rsidR="005A2AAC" w:rsidRPr="00346C89" w:rsidRDefault="005A2AAC" w:rsidP="005A2AAC">
      <w:pPr>
        <w:widowControl w:val="0"/>
        <w:numPr>
          <w:ilvl w:val="0"/>
          <w:numId w:val="14"/>
        </w:numPr>
        <w:tabs>
          <w:tab w:val="left" w:pos="1201"/>
        </w:tabs>
        <w:autoSpaceDE w:val="0"/>
        <w:autoSpaceDN w:val="0"/>
        <w:spacing w:before="120"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quality of the recording (and, where the quality is poor,  whether transcripts are required);</w:t>
      </w:r>
      <w:r w:rsidRPr="00346C89">
        <w:rPr>
          <w:rFonts w:ascii="Palatino Linotype" w:eastAsia="Palatino Linotype" w:hAnsi="Palatino Linotype" w:cs="Palatino Linotype"/>
          <w:spacing w:val="-11"/>
          <w:sz w:val="24"/>
          <w:lang w:val="en-US" w:eastAsia="en-US"/>
        </w:rPr>
        <w:t xml:space="preserve"> </w:t>
      </w:r>
      <w:r w:rsidRPr="00346C89">
        <w:rPr>
          <w:rFonts w:ascii="Palatino Linotype" w:eastAsia="Palatino Linotype" w:hAnsi="Palatino Linotype" w:cs="Palatino Linotype"/>
          <w:sz w:val="24"/>
          <w:lang w:val="en-US" w:eastAsia="en-US"/>
        </w:rPr>
        <w:t>and</w:t>
      </w:r>
    </w:p>
    <w:p w:rsidR="005A2AAC" w:rsidRPr="00346C89" w:rsidRDefault="005A2AAC" w:rsidP="005A2AAC">
      <w:pPr>
        <w:widowControl w:val="0"/>
        <w:numPr>
          <w:ilvl w:val="0"/>
          <w:numId w:val="14"/>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proofErr w:type="gramStart"/>
      <w:r w:rsidRPr="00346C89">
        <w:rPr>
          <w:rFonts w:ascii="Palatino Linotype" w:eastAsia="Palatino Linotype" w:hAnsi="Palatino Linotype" w:cs="Palatino Linotype"/>
          <w:sz w:val="24"/>
          <w:lang w:val="en-US" w:eastAsia="en-US"/>
        </w:rPr>
        <w:t>how</w:t>
      </w:r>
      <w:proofErr w:type="gramEnd"/>
      <w:r w:rsidRPr="00346C89">
        <w:rPr>
          <w:rFonts w:ascii="Palatino Linotype" w:eastAsia="Palatino Linotype" w:hAnsi="Palatino Linotype" w:cs="Palatino Linotype"/>
          <w:sz w:val="24"/>
          <w:lang w:val="en-US" w:eastAsia="en-US"/>
        </w:rPr>
        <w:t xml:space="preserve"> the evidence is to be presented to the</w:t>
      </w:r>
      <w:r w:rsidRPr="00346C89">
        <w:rPr>
          <w:rFonts w:ascii="Palatino Linotype" w:eastAsia="Palatino Linotype" w:hAnsi="Palatino Linotype" w:cs="Palatino Linotype"/>
          <w:spacing w:val="-9"/>
          <w:sz w:val="24"/>
          <w:lang w:val="en-US" w:eastAsia="en-US"/>
        </w:rPr>
        <w:t xml:space="preserve"> </w:t>
      </w:r>
      <w:r w:rsidRPr="00346C89">
        <w:rPr>
          <w:rFonts w:ascii="Palatino Linotype" w:eastAsia="Palatino Linotype" w:hAnsi="Palatino Linotype" w:cs="Palatino Linotype"/>
          <w:sz w:val="24"/>
          <w:lang w:val="en-US" w:eastAsia="en-US"/>
        </w:rPr>
        <w:t>jury.</w:t>
      </w: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5A2AAC" w:rsidRPr="00346C89" w:rsidRDefault="005A2AAC" w:rsidP="005A2AAC">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5A2AAC" w:rsidRPr="00346C89" w:rsidRDefault="005A2AAC" w:rsidP="005A2AAC">
      <w:pPr>
        <w:widowControl w:val="0"/>
        <w:autoSpaceDE w:val="0"/>
        <w:autoSpaceDN w:val="0"/>
        <w:spacing w:before="11" w:after="0" w:line="240" w:lineRule="auto"/>
        <w:jc w:val="center"/>
        <w:rPr>
          <w:rFonts w:ascii="Palatino Linotype" w:eastAsia="Palatino Linotype" w:hAnsi="Palatino Linotype" w:cs="Palatino Linotype"/>
          <w:sz w:val="26"/>
          <w:szCs w:val="24"/>
          <w:lang w:val="en-US" w:eastAsia="en-US"/>
        </w:rPr>
      </w:pPr>
    </w:p>
    <w:p w:rsidR="005A2AAC" w:rsidRPr="00346C89" w:rsidRDefault="005A2AAC" w:rsidP="005A2AAC">
      <w:pPr>
        <w:widowControl w:val="0"/>
        <w:autoSpaceDE w:val="0"/>
        <w:autoSpaceDN w:val="0"/>
        <w:spacing w:before="1" w:after="0" w:line="240" w:lineRule="auto"/>
        <w:ind w:right="117"/>
        <w:jc w:val="right"/>
        <w:rPr>
          <w:rFonts w:ascii="Palatino Linotype" w:eastAsia="Palatino Linotype" w:hAnsi="Palatino Linotype" w:cs="Palatino Linotype"/>
          <w:i/>
          <w:sz w:val="24"/>
          <w:lang w:val="en-US" w:eastAsia="en-US"/>
        </w:rPr>
      </w:pPr>
      <w:r w:rsidRPr="00346C89">
        <w:rPr>
          <w:rFonts w:ascii="Palatino Linotype" w:eastAsia="Palatino Linotype" w:hAnsi="Palatino Linotype" w:cs="Palatino Linotype"/>
          <w:i/>
          <w:sz w:val="24"/>
          <w:lang w:val="en-US" w:eastAsia="en-US"/>
        </w:rPr>
        <w:t>CJM Sutherland</w:t>
      </w:r>
    </w:p>
    <w:p w:rsidR="005A2AAC" w:rsidRPr="00346C89" w:rsidRDefault="005A2AAC" w:rsidP="005A2AAC">
      <w:pPr>
        <w:widowControl w:val="0"/>
        <w:autoSpaceDE w:val="0"/>
        <w:autoSpaceDN w:val="0"/>
        <w:spacing w:after="0" w:line="240" w:lineRule="auto"/>
        <w:ind w:right="117"/>
        <w:jc w:val="right"/>
        <w:rPr>
          <w:rFonts w:ascii="Palatino Linotype" w:eastAsia="Palatino Linotype" w:hAnsi="Palatino Linotype" w:cs="Palatino Linotype"/>
          <w:sz w:val="24"/>
          <w:szCs w:val="24"/>
          <w:lang w:val="en-US" w:eastAsia="en-US"/>
        </w:rPr>
      </w:pPr>
      <w:r w:rsidRPr="00346C89">
        <w:rPr>
          <w:rFonts w:ascii="Palatino Linotype" w:eastAsia="Palatino Linotype" w:hAnsi="Palatino Linotype" w:cs="Palatino Linotype"/>
          <w:sz w:val="24"/>
          <w:szCs w:val="24"/>
          <w:lang w:val="en-US" w:eastAsia="en-US"/>
        </w:rPr>
        <w:t>Lord Justice General</w:t>
      </w:r>
    </w:p>
    <w:p w:rsidR="005A2AAC" w:rsidRPr="00346C89" w:rsidRDefault="005A2AAC" w:rsidP="005A2AAC">
      <w:pPr>
        <w:widowControl w:val="0"/>
        <w:autoSpaceDE w:val="0"/>
        <w:autoSpaceDN w:val="0"/>
        <w:spacing w:after="0" w:line="240" w:lineRule="auto"/>
        <w:ind w:left="6899" w:right="116" w:firstLine="381"/>
        <w:jc w:val="right"/>
        <w:rPr>
          <w:rFonts w:ascii="Palatino Linotype" w:eastAsia="Palatino Linotype" w:hAnsi="Palatino Linotype" w:cs="Palatino Linotype"/>
          <w:sz w:val="24"/>
          <w:szCs w:val="24"/>
          <w:lang w:val="en-US" w:eastAsia="en-US"/>
        </w:rPr>
      </w:pPr>
      <w:r w:rsidRPr="00346C89">
        <w:rPr>
          <w:rFonts w:ascii="Palatino Linotype" w:eastAsia="Palatino Linotype" w:hAnsi="Palatino Linotype" w:cs="Palatino Linotype"/>
          <w:sz w:val="24"/>
          <w:szCs w:val="24"/>
          <w:lang w:val="en-US" w:eastAsia="en-US"/>
        </w:rPr>
        <w:t>Edinburgh 28 March 2017</w:t>
      </w:r>
    </w:p>
    <w:p w:rsidR="005A2AAC" w:rsidRPr="00346C89" w:rsidRDefault="005A2AAC" w:rsidP="005A2AAC">
      <w:pPr>
        <w:spacing w:after="0" w:line="240" w:lineRule="auto"/>
        <w:rPr>
          <w:rFonts w:cs="Arial"/>
          <w:lang w:eastAsia="en-US"/>
        </w:rPr>
      </w:pPr>
    </w:p>
    <w:p w:rsidR="00BA56AC" w:rsidRDefault="00BA56AC">
      <w:pPr>
        <w:spacing w:after="0" w:line="240" w:lineRule="auto"/>
        <w:rPr>
          <w:lang w:eastAsia="en-US"/>
        </w:rPr>
      </w:pPr>
      <w:r>
        <w:br w:type="page"/>
      </w:r>
    </w:p>
    <w:p w:rsidR="00523AC4" w:rsidRDefault="00523AC4" w:rsidP="005A2AAC">
      <w:pPr>
        <w:pStyle w:val="NoSpacing"/>
      </w:pPr>
    </w:p>
    <w:p w:rsidR="00BA56AC" w:rsidRPr="008E46B3" w:rsidRDefault="00BA56AC" w:rsidP="00BA56AC">
      <w:pPr>
        <w:pStyle w:val="NoSpacing"/>
        <w:rPr>
          <w:b/>
          <w:color w:val="365F91" w:themeColor="accent1" w:themeShade="BF"/>
        </w:rPr>
      </w:pPr>
      <w:r w:rsidRPr="008E46B3">
        <w:rPr>
          <w:b/>
          <w:color w:val="365F91" w:themeColor="accent1" w:themeShade="BF"/>
        </w:rPr>
        <w:t xml:space="preserve">APPENDIX </w:t>
      </w:r>
      <w:r>
        <w:rPr>
          <w:b/>
          <w:color w:val="365F91" w:themeColor="accent1" w:themeShade="BF"/>
        </w:rPr>
        <w:t>2</w:t>
      </w:r>
      <w:r w:rsidRPr="008E46B3">
        <w:rPr>
          <w:b/>
          <w:color w:val="365F91" w:themeColor="accent1" w:themeShade="BF"/>
        </w:rPr>
        <w:t xml:space="preserve"> – DATA QUALITY</w:t>
      </w:r>
    </w:p>
    <w:p w:rsidR="00BA56AC" w:rsidRDefault="00BA56AC" w:rsidP="00BA56AC">
      <w:pPr>
        <w:pStyle w:val="NoSpacing"/>
      </w:pPr>
    </w:p>
    <w:p w:rsidR="00BA56AC" w:rsidRPr="00B64B41" w:rsidRDefault="00BA56AC" w:rsidP="00BA56AC">
      <w:pPr>
        <w:pStyle w:val="NoSpacing"/>
        <w:rPr>
          <w:u w:val="single"/>
        </w:rPr>
      </w:pPr>
      <w:r w:rsidRPr="00B64B41">
        <w:rPr>
          <w:u w:val="single"/>
        </w:rPr>
        <w:t>Data sources</w:t>
      </w:r>
    </w:p>
    <w:p w:rsidR="00BA56AC" w:rsidRDefault="00BA56AC" w:rsidP="00BA56AC">
      <w:pPr>
        <w:pStyle w:val="NoSpacing"/>
      </w:pPr>
      <w:r>
        <w:t>The end to end data within this report is sourced from a mixture of:</w:t>
      </w:r>
    </w:p>
    <w:p w:rsidR="00BA56AC" w:rsidRDefault="00BA56AC" w:rsidP="00BA56AC">
      <w:pPr>
        <w:pStyle w:val="NoSpacing"/>
      </w:pPr>
    </w:p>
    <w:p w:rsidR="00BA56AC" w:rsidRDefault="00BA56AC" w:rsidP="00BA56AC">
      <w:pPr>
        <w:pStyle w:val="NoSpacing"/>
        <w:numPr>
          <w:ilvl w:val="0"/>
          <w:numId w:val="8"/>
        </w:numPr>
      </w:pPr>
      <w:r>
        <w:t xml:space="preserve">The applications recorded by court officials </w:t>
      </w:r>
      <w:r w:rsidRPr="00025415">
        <w:rPr>
          <w:i/>
        </w:rPr>
        <w:t>(sourced from the</w:t>
      </w:r>
      <w:r>
        <w:t xml:space="preserve"> </w:t>
      </w:r>
      <w:r w:rsidRPr="00B64B41">
        <w:rPr>
          <w:i/>
        </w:rPr>
        <w:t>Vulnerable Witness Application</w:t>
      </w:r>
      <w:r>
        <w:rPr>
          <w:i/>
        </w:rPr>
        <w:t xml:space="preserve"> - the special measures reporting tool);</w:t>
      </w:r>
      <w:r>
        <w:t xml:space="preserve"> </w:t>
      </w:r>
    </w:p>
    <w:p w:rsidR="00BA56AC" w:rsidRDefault="00BA56AC" w:rsidP="00BA56AC">
      <w:pPr>
        <w:pStyle w:val="NoSpacing"/>
        <w:ind w:left="420"/>
      </w:pPr>
    </w:p>
    <w:p w:rsidR="00BA56AC" w:rsidRPr="006572B1" w:rsidRDefault="00BA56AC" w:rsidP="00BA56AC">
      <w:pPr>
        <w:pStyle w:val="NoSpacing"/>
        <w:numPr>
          <w:ilvl w:val="0"/>
          <w:numId w:val="8"/>
        </w:numPr>
        <w:rPr>
          <w:i/>
        </w:rPr>
      </w:pPr>
      <w:r>
        <w:t>The case progression dates (</w:t>
      </w:r>
      <w:r w:rsidRPr="00025415">
        <w:rPr>
          <w:i/>
        </w:rPr>
        <w:t>sourced from COPII</w:t>
      </w:r>
      <w:r>
        <w:t xml:space="preserve"> - </w:t>
      </w:r>
      <w:r w:rsidRPr="00F23E01">
        <w:rPr>
          <w:i/>
        </w:rPr>
        <w:t>the SCTS c</w:t>
      </w:r>
      <w:r>
        <w:rPr>
          <w:i/>
        </w:rPr>
        <w:t xml:space="preserve">riminal case management system); </w:t>
      </w:r>
    </w:p>
    <w:p w:rsidR="00BA56AC" w:rsidRPr="00F23E01" w:rsidRDefault="00BA56AC" w:rsidP="00BA56AC">
      <w:pPr>
        <w:pStyle w:val="NoSpacing"/>
        <w:ind w:left="420"/>
        <w:rPr>
          <w:i/>
        </w:rPr>
      </w:pPr>
    </w:p>
    <w:p w:rsidR="00BA56AC" w:rsidRPr="006572B1" w:rsidRDefault="00BA56AC" w:rsidP="00BA56AC">
      <w:pPr>
        <w:pStyle w:val="NoSpacing"/>
        <w:numPr>
          <w:ilvl w:val="0"/>
          <w:numId w:val="8"/>
        </w:numPr>
      </w:pPr>
      <w:r>
        <w:t>The general information narrated within the court minute (</w:t>
      </w:r>
      <w:r w:rsidRPr="00025415">
        <w:rPr>
          <w:i/>
        </w:rPr>
        <w:t>sourced from COPII</w:t>
      </w:r>
      <w:r>
        <w:t xml:space="preserve"> - </w:t>
      </w:r>
      <w:r w:rsidRPr="00F23E01">
        <w:rPr>
          <w:i/>
        </w:rPr>
        <w:t>the SCTS c</w:t>
      </w:r>
      <w:r>
        <w:rPr>
          <w:i/>
        </w:rPr>
        <w:t>riminal case management system);</w:t>
      </w:r>
    </w:p>
    <w:p w:rsidR="00BA56AC" w:rsidRPr="00025415" w:rsidRDefault="00BA56AC" w:rsidP="00BA56AC">
      <w:pPr>
        <w:pStyle w:val="NoSpacing"/>
        <w:ind w:left="420"/>
      </w:pPr>
    </w:p>
    <w:p w:rsidR="00BA56AC" w:rsidRDefault="00BA56AC" w:rsidP="00BA56AC">
      <w:pPr>
        <w:pStyle w:val="NoSpacing"/>
        <w:numPr>
          <w:ilvl w:val="0"/>
          <w:numId w:val="8"/>
        </w:numPr>
        <w:rPr>
          <w:i/>
        </w:rPr>
      </w:pPr>
      <w:r>
        <w:t xml:space="preserve">The feedback report from each commission held </w:t>
      </w:r>
      <w:r w:rsidRPr="006572B1">
        <w:rPr>
          <w:i/>
        </w:rPr>
        <w:t>(sourced from copies of those reports lodged in the generic email box maintained by MIAT)</w:t>
      </w:r>
      <w:r>
        <w:rPr>
          <w:i/>
        </w:rPr>
        <w:t>; and</w:t>
      </w:r>
    </w:p>
    <w:p w:rsidR="00BA56AC" w:rsidRDefault="00BA56AC" w:rsidP="00BA56AC">
      <w:pPr>
        <w:pStyle w:val="NoSpacing"/>
        <w:ind w:left="420"/>
      </w:pPr>
    </w:p>
    <w:p w:rsidR="00BA56AC" w:rsidRPr="006572B1" w:rsidRDefault="00BA56AC" w:rsidP="00BA56AC">
      <w:pPr>
        <w:pStyle w:val="NoSpacing"/>
        <w:numPr>
          <w:ilvl w:val="0"/>
          <w:numId w:val="8"/>
        </w:numPr>
      </w:pPr>
      <w:r w:rsidRPr="006572B1">
        <w:t xml:space="preserve">Manual spreadsheets maintained by the High Court </w:t>
      </w:r>
      <w:r>
        <w:t>of Judi</w:t>
      </w:r>
      <w:r w:rsidRPr="006572B1">
        <w:t>c</w:t>
      </w:r>
      <w:r>
        <w:t>i</w:t>
      </w:r>
      <w:r w:rsidRPr="006572B1">
        <w:t>ary</w:t>
      </w:r>
    </w:p>
    <w:p w:rsidR="00BA56AC" w:rsidRDefault="00BA56AC" w:rsidP="00BA56AC">
      <w:pPr>
        <w:pStyle w:val="NoSpacing"/>
      </w:pPr>
    </w:p>
    <w:p w:rsidR="00BA56AC" w:rsidRDefault="00BA56AC" w:rsidP="00BA56AC">
      <w:pPr>
        <w:pStyle w:val="NoSpacing"/>
      </w:pPr>
    </w:p>
    <w:p w:rsidR="00BA56AC" w:rsidRDefault="00BA56AC" w:rsidP="00BA56AC">
      <w:pPr>
        <w:pStyle w:val="NoSpacing"/>
      </w:pPr>
    </w:p>
    <w:p w:rsidR="00BA56AC" w:rsidRPr="00074D38" w:rsidRDefault="00BA56AC" w:rsidP="00BA56AC">
      <w:pPr>
        <w:pStyle w:val="NoSpacing"/>
        <w:rPr>
          <w:u w:val="single"/>
        </w:rPr>
      </w:pPr>
      <w:r w:rsidRPr="00074D38">
        <w:rPr>
          <w:u w:val="single"/>
        </w:rPr>
        <w:t>Continuous Improvement</w:t>
      </w:r>
    </w:p>
    <w:p w:rsidR="00BA56AC" w:rsidRDefault="00BA56AC" w:rsidP="00BA56AC">
      <w:pPr>
        <w:pStyle w:val="NoSpacing"/>
      </w:pPr>
      <w:r>
        <w:t xml:space="preserve">For future versions of this report the SCTS may want to update its information systems to </w:t>
      </w:r>
      <w:r w:rsidR="00371DBF">
        <w:t xml:space="preserve">allow the following </w:t>
      </w:r>
      <w:r>
        <w:t xml:space="preserve">data </w:t>
      </w:r>
      <w:r w:rsidR="00371DBF">
        <w:t>to be obtained more seamlessly</w:t>
      </w:r>
      <w:r>
        <w:t>:</w:t>
      </w:r>
    </w:p>
    <w:p w:rsidR="00BA56AC" w:rsidRDefault="00BA56AC" w:rsidP="00BA56AC">
      <w:pPr>
        <w:pStyle w:val="NoSpacing"/>
      </w:pPr>
    </w:p>
    <w:tbl>
      <w:tblPr>
        <w:tblStyle w:val="TableGrid"/>
        <w:tblW w:w="9464" w:type="dxa"/>
        <w:tblLook w:val="04A0" w:firstRow="1" w:lastRow="0" w:firstColumn="1" w:lastColumn="0" w:noHBand="0" w:noVBand="1"/>
      </w:tblPr>
      <w:tblGrid>
        <w:gridCol w:w="1672"/>
        <w:gridCol w:w="7792"/>
      </w:tblGrid>
      <w:tr w:rsidR="00BA56AC" w:rsidRPr="00EA32A6" w:rsidTr="000E71D1">
        <w:tc>
          <w:tcPr>
            <w:tcW w:w="1672" w:type="dxa"/>
            <w:shd w:val="clear" w:color="auto" w:fill="365F91" w:themeFill="accent1" w:themeFillShade="BF"/>
          </w:tcPr>
          <w:p w:rsidR="00BA56AC" w:rsidRPr="00EA32A6" w:rsidRDefault="00BA56AC" w:rsidP="000E71D1">
            <w:pPr>
              <w:pStyle w:val="NoSpacing"/>
              <w:rPr>
                <w:i/>
                <w:color w:val="FFFFFF" w:themeColor="background1"/>
                <w:sz w:val="20"/>
                <w:szCs w:val="20"/>
              </w:rPr>
            </w:pPr>
            <w:r w:rsidRPr="00EA32A6">
              <w:rPr>
                <w:i/>
                <w:color w:val="FFFFFF" w:themeColor="background1"/>
                <w:sz w:val="20"/>
                <w:szCs w:val="20"/>
              </w:rPr>
              <w:t>Stage</w:t>
            </w:r>
            <w:r>
              <w:rPr>
                <w:i/>
                <w:color w:val="FFFFFF" w:themeColor="background1"/>
                <w:sz w:val="20"/>
                <w:szCs w:val="20"/>
              </w:rPr>
              <w:t xml:space="preserve"> in procedure</w:t>
            </w:r>
          </w:p>
        </w:tc>
        <w:tc>
          <w:tcPr>
            <w:tcW w:w="7792" w:type="dxa"/>
            <w:shd w:val="clear" w:color="auto" w:fill="365F91" w:themeFill="accent1" w:themeFillShade="BF"/>
          </w:tcPr>
          <w:p w:rsidR="00BA56AC" w:rsidRPr="00EA32A6" w:rsidRDefault="00BA56AC" w:rsidP="000E71D1">
            <w:pPr>
              <w:pStyle w:val="NoSpacing"/>
              <w:rPr>
                <w:i/>
                <w:color w:val="FFFFFF" w:themeColor="background1"/>
                <w:sz w:val="20"/>
                <w:szCs w:val="20"/>
              </w:rPr>
            </w:pPr>
            <w:r>
              <w:rPr>
                <w:i/>
                <w:color w:val="FFFFFF" w:themeColor="background1"/>
                <w:sz w:val="20"/>
                <w:szCs w:val="20"/>
              </w:rPr>
              <w:t>Additional data that could be routinely captured</w:t>
            </w:r>
          </w:p>
        </w:tc>
      </w:tr>
      <w:tr w:rsidR="00BA56AC" w:rsidRPr="00523AC4" w:rsidTr="000E71D1">
        <w:tc>
          <w:tcPr>
            <w:tcW w:w="1672" w:type="dxa"/>
          </w:tcPr>
          <w:p w:rsidR="00BA56AC" w:rsidRPr="00523AC4" w:rsidRDefault="00BA56AC" w:rsidP="000E71D1">
            <w:pPr>
              <w:pStyle w:val="NoSpacing"/>
              <w:rPr>
                <w:sz w:val="20"/>
                <w:szCs w:val="20"/>
              </w:rPr>
            </w:pPr>
            <w:r w:rsidRPr="00523AC4">
              <w:rPr>
                <w:sz w:val="20"/>
                <w:szCs w:val="20"/>
              </w:rPr>
              <w:t>APPLICATIONS MADE</w:t>
            </w:r>
          </w:p>
        </w:tc>
        <w:tc>
          <w:tcPr>
            <w:tcW w:w="7792" w:type="dxa"/>
          </w:tcPr>
          <w:p w:rsidR="00BA56AC" w:rsidRPr="00593D2C" w:rsidRDefault="00BA56AC" w:rsidP="000E71D1">
            <w:pPr>
              <w:pStyle w:val="NoSpacing"/>
              <w:rPr>
                <w:i/>
                <w:sz w:val="20"/>
                <w:szCs w:val="20"/>
              </w:rPr>
            </w:pPr>
            <w:r>
              <w:rPr>
                <w:sz w:val="20"/>
                <w:szCs w:val="20"/>
              </w:rPr>
              <w:t>O</w:t>
            </w:r>
            <w:r w:rsidRPr="00523AC4">
              <w:rPr>
                <w:sz w:val="20"/>
                <w:szCs w:val="20"/>
              </w:rPr>
              <w:t>bjections lodged within 7 days of a VW Application being received</w:t>
            </w:r>
            <w:r>
              <w:rPr>
                <w:sz w:val="20"/>
                <w:szCs w:val="20"/>
              </w:rPr>
              <w:t xml:space="preserve"> </w:t>
            </w:r>
            <w:r w:rsidRPr="00593D2C">
              <w:rPr>
                <w:i/>
                <w:sz w:val="20"/>
                <w:szCs w:val="20"/>
              </w:rPr>
              <w:t>(if any)</w:t>
            </w:r>
          </w:p>
          <w:p w:rsidR="00BA56AC" w:rsidRPr="00523AC4" w:rsidRDefault="00BA56AC" w:rsidP="000E71D1">
            <w:pPr>
              <w:pStyle w:val="NoSpacing"/>
              <w:rPr>
                <w:sz w:val="20"/>
                <w:szCs w:val="20"/>
              </w:rPr>
            </w:pPr>
          </w:p>
        </w:tc>
      </w:tr>
      <w:tr w:rsidR="00BA56AC" w:rsidRPr="00523AC4" w:rsidTr="000E71D1">
        <w:tc>
          <w:tcPr>
            <w:tcW w:w="1672" w:type="dxa"/>
          </w:tcPr>
          <w:p w:rsidR="00BA56AC" w:rsidRPr="00523AC4" w:rsidRDefault="00BA56AC" w:rsidP="000E71D1">
            <w:pPr>
              <w:pStyle w:val="NoSpacing"/>
              <w:rPr>
                <w:sz w:val="20"/>
                <w:szCs w:val="20"/>
              </w:rPr>
            </w:pPr>
            <w:r>
              <w:rPr>
                <w:sz w:val="20"/>
                <w:szCs w:val="20"/>
              </w:rPr>
              <w:t>APPROACH</w:t>
            </w:r>
            <w:r w:rsidRPr="00523AC4">
              <w:rPr>
                <w:sz w:val="20"/>
                <w:szCs w:val="20"/>
              </w:rPr>
              <w:t xml:space="preserve"> AGREED</w:t>
            </w:r>
          </w:p>
        </w:tc>
        <w:tc>
          <w:tcPr>
            <w:tcW w:w="7792" w:type="dxa"/>
          </w:tcPr>
          <w:p w:rsidR="00BA56AC" w:rsidRPr="00523AC4" w:rsidRDefault="00BA56AC" w:rsidP="000E71D1">
            <w:pPr>
              <w:pStyle w:val="NoSpacing"/>
              <w:rPr>
                <w:sz w:val="20"/>
                <w:szCs w:val="20"/>
              </w:rPr>
            </w:pPr>
            <w:r>
              <w:rPr>
                <w:sz w:val="20"/>
                <w:szCs w:val="20"/>
              </w:rPr>
              <w:t xml:space="preserve">Applications refused by the judiciary </w:t>
            </w:r>
            <w:r w:rsidRPr="00593D2C">
              <w:rPr>
                <w:i/>
                <w:sz w:val="20"/>
                <w:szCs w:val="20"/>
              </w:rPr>
              <w:t>(if any)</w:t>
            </w:r>
          </w:p>
        </w:tc>
      </w:tr>
      <w:tr w:rsidR="00BA56AC" w:rsidRPr="00523AC4" w:rsidTr="000E71D1">
        <w:tc>
          <w:tcPr>
            <w:tcW w:w="1672" w:type="dxa"/>
            <w:vMerge w:val="restart"/>
          </w:tcPr>
          <w:p w:rsidR="00BA56AC" w:rsidRDefault="00BA56AC" w:rsidP="000E71D1">
            <w:pPr>
              <w:pStyle w:val="NoSpacing"/>
              <w:rPr>
                <w:sz w:val="20"/>
                <w:szCs w:val="20"/>
              </w:rPr>
            </w:pPr>
            <w:r w:rsidRPr="00523AC4">
              <w:rPr>
                <w:sz w:val="20"/>
                <w:szCs w:val="20"/>
              </w:rPr>
              <w:t xml:space="preserve">EVIDENCE </w:t>
            </w:r>
          </w:p>
          <w:p w:rsidR="00BA56AC" w:rsidRPr="00523AC4" w:rsidRDefault="00BA56AC" w:rsidP="000E71D1">
            <w:pPr>
              <w:pStyle w:val="NoSpacing"/>
              <w:rPr>
                <w:sz w:val="20"/>
                <w:szCs w:val="20"/>
              </w:rPr>
            </w:pPr>
            <w:r w:rsidRPr="00523AC4">
              <w:rPr>
                <w:sz w:val="20"/>
                <w:szCs w:val="20"/>
              </w:rPr>
              <w:t>TAKEN</w:t>
            </w:r>
          </w:p>
        </w:tc>
        <w:tc>
          <w:tcPr>
            <w:tcW w:w="7792" w:type="dxa"/>
          </w:tcPr>
          <w:p w:rsidR="00BA56AC" w:rsidRDefault="00BA56AC" w:rsidP="000E71D1">
            <w:pPr>
              <w:pStyle w:val="NoSpacing"/>
              <w:rPr>
                <w:sz w:val="20"/>
                <w:szCs w:val="20"/>
              </w:rPr>
            </w:pPr>
            <w:r>
              <w:rPr>
                <w:sz w:val="20"/>
                <w:szCs w:val="20"/>
              </w:rPr>
              <w:t>Did</w:t>
            </w:r>
            <w:r w:rsidRPr="00523AC4">
              <w:rPr>
                <w:sz w:val="20"/>
                <w:szCs w:val="20"/>
              </w:rPr>
              <w:t xml:space="preserve"> the witness appear by live TV link</w:t>
            </w:r>
            <w:r>
              <w:rPr>
                <w:sz w:val="20"/>
                <w:szCs w:val="20"/>
              </w:rPr>
              <w:t>, and from what location</w:t>
            </w:r>
          </w:p>
          <w:p w:rsidR="00BA56AC" w:rsidRPr="00523AC4" w:rsidRDefault="00BA56AC" w:rsidP="000E71D1">
            <w:pPr>
              <w:pStyle w:val="NoSpacing"/>
              <w:rPr>
                <w:sz w:val="20"/>
                <w:szCs w:val="20"/>
              </w:rPr>
            </w:pPr>
            <w:r>
              <w:rPr>
                <w:sz w:val="20"/>
                <w:szCs w:val="20"/>
              </w:rPr>
              <w:t>Did</w:t>
            </w:r>
            <w:r w:rsidRPr="00523AC4">
              <w:rPr>
                <w:sz w:val="20"/>
                <w:szCs w:val="20"/>
              </w:rPr>
              <w:t xml:space="preserve"> the </w:t>
            </w:r>
            <w:r>
              <w:rPr>
                <w:sz w:val="20"/>
                <w:szCs w:val="20"/>
              </w:rPr>
              <w:t xml:space="preserve">accused </w:t>
            </w:r>
            <w:r w:rsidRPr="00523AC4">
              <w:rPr>
                <w:sz w:val="20"/>
                <w:szCs w:val="20"/>
              </w:rPr>
              <w:t>appear by live TV link</w:t>
            </w:r>
            <w:r>
              <w:rPr>
                <w:sz w:val="20"/>
                <w:szCs w:val="20"/>
              </w:rPr>
              <w:t>, and from what location</w:t>
            </w:r>
          </w:p>
        </w:tc>
      </w:tr>
      <w:tr w:rsidR="00BA56AC" w:rsidRPr="00523AC4" w:rsidTr="000E71D1">
        <w:tc>
          <w:tcPr>
            <w:tcW w:w="1672" w:type="dxa"/>
            <w:vMerge/>
          </w:tcPr>
          <w:p w:rsidR="00BA56AC" w:rsidRPr="00523AC4" w:rsidRDefault="00BA56AC" w:rsidP="000E71D1">
            <w:pPr>
              <w:pStyle w:val="NoSpacing"/>
              <w:rPr>
                <w:sz w:val="20"/>
                <w:szCs w:val="20"/>
              </w:rPr>
            </w:pPr>
          </w:p>
        </w:tc>
        <w:tc>
          <w:tcPr>
            <w:tcW w:w="7792" w:type="dxa"/>
          </w:tcPr>
          <w:p w:rsidR="00BA56AC" w:rsidRDefault="00BA56AC" w:rsidP="000E71D1">
            <w:pPr>
              <w:pStyle w:val="NoSpacing"/>
              <w:rPr>
                <w:sz w:val="20"/>
                <w:szCs w:val="20"/>
              </w:rPr>
            </w:pPr>
            <w:r>
              <w:rPr>
                <w:sz w:val="20"/>
                <w:szCs w:val="20"/>
              </w:rPr>
              <w:t>The judge attending</w:t>
            </w:r>
          </w:p>
        </w:tc>
      </w:tr>
      <w:tr w:rsidR="00BA56AC" w:rsidRPr="00523AC4" w:rsidTr="000E71D1">
        <w:tc>
          <w:tcPr>
            <w:tcW w:w="1672" w:type="dxa"/>
            <w:vMerge/>
          </w:tcPr>
          <w:p w:rsidR="00BA56AC" w:rsidRPr="00523AC4" w:rsidRDefault="00BA56AC" w:rsidP="000E71D1">
            <w:pPr>
              <w:pStyle w:val="NoSpacing"/>
              <w:rPr>
                <w:sz w:val="20"/>
                <w:szCs w:val="20"/>
              </w:rPr>
            </w:pPr>
          </w:p>
        </w:tc>
        <w:tc>
          <w:tcPr>
            <w:tcW w:w="7792" w:type="dxa"/>
          </w:tcPr>
          <w:p w:rsidR="00BA56AC" w:rsidRDefault="00F755B5" w:rsidP="000E71D1">
            <w:pPr>
              <w:pStyle w:val="NoSpacing"/>
              <w:rPr>
                <w:sz w:val="20"/>
                <w:szCs w:val="20"/>
              </w:rPr>
            </w:pPr>
            <w:r>
              <w:rPr>
                <w:sz w:val="20"/>
                <w:szCs w:val="20"/>
              </w:rPr>
              <w:t>The camera operator</w:t>
            </w:r>
            <w:r w:rsidR="00BA56AC">
              <w:rPr>
                <w:sz w:val="20"/>
                <w:szCs w:val="20"/>
              </w:rPr>
              <w:t xml:space="preserve"> attending</w:t>
            </w:r>
          </w:p>
        </w:tc>
      </w:tr>
      <w:tr w:rsidR="00BA56AC" w:rsidRPr="00523AC4" w:rsidTr="000E71D1">
        <w:tc>
          <w:tcPr>
            <w:tcW w:w="1672" w:type="dxa"/>
            <w:vMerge/>
          </w:tcPr>
          <w:p w:rsidR="00BA56AC" w:rsidRPr="00523AC4" w:rsidRDefault="00BA56AC" w:rsidP="000E71D1">
            <w:pPr>
              <w:pStyle w:val="NoSpacing"/>
              <w:rPr>
                <w:sz w:val="20"/>
                <w:szCs w:val="20"/>
              </w:rPr>
            </w:pPr>
          </w:p>
        </w:tc>
        <w:tc>
          <w:tcPr>
            <w:tcW w:w="7792" w:type="dxa"/>
          </w:tcPr>
          <w:p w:rsidR="00BA56AC" w:rsidRDefault="00BA56AC" w:rsidP="000E71D1">
            <w:pPr>
              <w:pStyle w:val="NoSpacing"/>
              <w:rPr>
                <w:sz w:val="20"/>
                <w:szCs w:val="20"/>
              </w:rPr>
            </w:pPr>
            <w:r>
              <w:rPr>
                <w:sz w:val="20"/>
                <w:szCs w:val="20"/>
              </w:rPr>
              <w:t xml:space="preserve">Did the witness have a supporter </w:t>
            </w:r>
          </w:p>
        </w:tc>
      </w:tr>
      <w:tr w:rsidR="00BA56AC" w:rsidRPr="00523AC4" w:rsidTr="000E71D1">
        <w:tc>
          <w:tcPr>
            <w:tcW w:w="1672" w:type="dxa"/>
            <w:vMerge/>
          </w:tcPr>
          <w:p w:rsidR="00BA56AC" w:rsidRPr="00523AC4" w:rsidRDefault="00BA56AC" w:rsidP="000E71D1">
            <w:pPr>
              <w:pStyle w:val="NoSpacing"/>
              <w:rPr>
                <w:sz w:val="20"/>
                <w:szCs w:val="20"/>
              </w:rPr>
            </w:pPr>
          </w:p>
        </w:tc>
        <w:tc>
          <w:tcPr>
            <w:tcW w:w="7792" w:type="dxa"/>
          </w:tcPr>
          <w:p w:rsidR="00BA56AC" w:rsidRDefault="00BA56AC" w:rsidP="000E71D1">
            <w:pPr>
              <w:pStyle w:val="NoSpacing"/>
              <w:rPr>
                <w:sz w:val="20"/>
                <w:szCs w:val="20"/>
              </w:rPr>
            </w:pPr>
            <w:r>
              <w:rPr>
                <w:sz w:val="20"/>
                <w:szCs w:val="20"/>
              </w:rPr>
              <w:t>Did the witness need an interpreter</w:t>
            </w:r>
          </w:p>
        </w:tc>
      </w:tr>
      <w:tr w:rsidR="00BA56AC" w:rsidRPr="00523AC4" w:rsidTr="000E71D1">
        <w:tc>
          <w:tcPr>
            <w:tcW w:w="1672" w:type="dxa"/>
            <w:vMerge/>
          </w:tcPr>
          <w:p w:rsidR="00BA56AC" w:rsidRPr="00523AC4" w:rsidRDefault="00BA56AC" w:rsidP="000E71D1">
            <w:pPr>
              <w:pStyle w:val="NoSpacing"/>
              <w:rPr>
                <w:sz w:val="20"/>
                <w:szCs w:val="20"/>
              </w:rPr>
            </w:pPr>
          </w:p>
        </w:tc>
        <w:tc>
          <w:tcPr>
            <w:tcW w:w="7792" w:type="dxa"/>
          </w:tcPr>
          <w:p w:rsidR="00BA56AC" w:rsidRDefault="00BA56AC" w:rsidP="000E71D1">
            <w:pPr>
              <w:pStyle w:val="NoSpacing"/>
              <w:rPr>
                <w:sz w:val="20"/>
                <w:szCs w:val="20"/>
              </w:rPr>
            </w:pPr>
            <w:r>
              <w:rPr>
                <w:sz w:val="20"/>
                <w:szCs w:val="20"/>
              </w:rPr>
              <w:t xml:space="preserve">The venue used, and was the quality satisfactory? </w:t>
            </w:r>
            <w:r w:rsidRPr="00D43805">
              <w:rPr>
                <w:i/>
                <w:sz w:val="20"/>
                <w:szCs w:val="20"/>
              </w:rPr>
              <w:t>(and if not why not)</w:t>
            </w:r>
          </w:p>
        </w:tc>
      </w:tr>
      <w:tr w:rsidR="00BA56AC" w:rsidRPr="00523AC4" w:rsidTr="000E71D1">
        <w:tc>
          <w:tcPr>
            <w:tcW w:w="1672" w:type="dxa"/>
            <w:vMerge/>
          </w:tcPr>
          <w:p w:rsidR="00BA56AC" w:rsidRPr="00523AC4" w:rsidRDefault="00BA56AC" w:rsidP="000E71D1">
            <w:pPr>
              <w:pStyle w:val="NoSpacing"/>
              <w:rPr>
                <w:sz w:val="20"/>
                <w:szCs w:val="20"/>
              </w:rPr>
            </w:pPr>
          </w:p>
        </w:tc>
        <w:tc>
          <w:tcPr>
            <w:tcW w:w="7792" w:type="dxa"/>
          </w:tcPr>
          <w:p w:rsidR="00BA56AC" w:rsidRDefault="00BA56AC" w:rsidP="000E71D1">
            <w:pPr>
              <w:pStyle w:val="NoSpacing"/>
              <w:rPr>
                <w:i/>
                <w:sz w:val="20"/>
                <w:szCs w:val="20"/>
              </w:rPr>
            </w:pPr>
            <w:r>
              <w:rPr>
                <w:sz w:val="20"/>
                <w:szCs w:val="20"/>
              </w:rPr>
              <w:t>T</w:t>
            </w:r>
            <w:r w:rsidRPr="00523AC4">
              <w:rPr>
                <w:sz w:val="20"/>
                <w:szCs w:val="20"/>
              </w:rPr>
              <w:t xml:space="preserve">he duration of the recordings made </w:t>
            </w:r>
            <w:r w:rsidRPr="00593D2C">
              <w:rPr>
                <w:i/>
                <w:sz w:val="20"/>
                <w:szCs w:val="20"/>
              </w:rPr>
              <w:t>(for each witness)</w:t>
            </w:r>
          </w:p>
          <w:p w:rsidR="00BA56AC" w:rsidRPr="00523AC4" w:rsidRDefault="00BA56AC" w:rsidP="000E71D1">
            <w:pPr>
              <w:pStyle w:val="NoSpacing"/>
              <w:rPr>
                <w:sz w:val="20"/>
                <w:szCs w:val="20"/>
              </w:rPr>
            </w:pPr>
            <w:r>
              <w:rPr>
                <w:sz w:val="20"/>
                <w:szCs w:val="20"/>
              </w:rPr>
              <w:t xml:space="preserve">Was the quality of the recording satisfactory? </w:t>
            </w:r>
            <w:r w:rsidRPr="00D43805">
              <w:rPr>
                <w:i/>
                <w:sz w:val="20"/>
                <w:szCs w:val="20"/>
              </w:rPr>
              <w:t>(and if not why not)</w:t>
            </w:r>
          </w:p>
        </w:tc>
      </w:tr>
      <w:tr w:rsidR="00BA56AC" w:rsidRPr="00523AC4" w:rsidTr="000E71D1">
        <w:tc>
          <w:tcPr>
            <w:tcW w:w="1672" w:type="dxa"/>
            <w:vMerge/>
          </w:tcPr>
          <w:p w:rsidR="00BA56AC" w:rsidRPr="00523AC4" w:rsidRDefault="00BA56AC" w:rsidP="000E71D1">
            <w:pPr>
              <w:pStyle w:val="NoSpacing"/>
              <w:rPr>
                <w:sz w:val="20"/>
                <w:szCs w:val="20"/>
              </w:rPr>
            </w:pPr>
          </w:p>
        </w:tc>
        <w:tc>
          <w:tcPr>
            <w:tcW w:w="7792" w:type="dxa"/>
          </w:tcPr>
          <w:p w:rsidR="00BA56AC" w:rsidRDefault="00BA56AC" w:rsidP="000E71D1">
            <w:pPr>
              <w:pStyle w:val="NoSpacing"/>
              <w:rPr>
                <w:sz w:val="20"/>
                <w:szCs w:val="20"/>
              </w:rPr>
            </w:pPr>
            <w:r>
              <w:rPr>
                <w:sz w:val="20"/>
                <w:szCs w:val="20"/>
              </w:rPr>
              <w:t>Was the recording edited before trial</w:t>
            </w:r>
            <w:r>
              <w:rPr>
                <w:i/>
                <w:sz w:val="20"/>
                <w:szCs w:val="20"/>
              </w:rPr>
              <w:t xml:space="preserve"> </w:t>
            </w:r>
            <w:r>
              <w:rPr>
                <w:sz w:val="20"/>
                <w:szCs w:val="20"/>
              </w:rPr>
              <w:t>&amp;</w:t>
            </w:r>
            <w:r w:rsidR="00E05686">
              <w:rPr>
                <w:sz w:val="20"/>
                <w:szCs w:val="20"/>
              </w:rPr>
              <w:t xml:space="preserve"> </w:t>
            </w:r>
            <w:r>
              <w:rPr>
                <w:sz w:val="20"/>
                <w:szCs w:val="20"/>
              </w:rPr>
              <w:t>the reasons why e.g. inadmissible evidence</w:t>
            </w:r>
          </w:p>
          <w:p w:rsidR="00BA56AC" w:rsidRPr="00523AC4" w:rsidRDefault="00BA56AC" w:rsidP="000E71D1">
            <w:pPr>
              <w:pStyle w:val="NoSpacing"/>
              <w:rPr>
                <w:sz w:val="20"/>
                <w:szCs w:val="20"/>
              </w:rPr>
            </w:pPr>
          </w:p>
        </w:tc>
      </w:tr>
      <w:tr w:rsidR="00BA56AC" w:rsidRPr="00523AC4" w:rsidTr="000E71D1">
        <w:tc>
          <w:tcPr>
            <w:tcW w:w="1672" w:type="dxa"/>
          </w:tcPr>
          <w:p w:rsidR="00BA56AC" w:rsidRPr="00523AC4" w:rsidRDefault="00BA56AC" w:rsidP="000E71D1">
            <w:pPr>
              <w:pStyle w:val="NoSpacing"/>
              <w:rPr>
                <w:sz w:val="20"/>
                <w:szCs w:val="20"/>
              </w:rPr>
            </w:pPr>
            <w:r w:rsidRPr="00523AC4">
              <w:rPr>
                <w:sz w:val="20"/>
                <w:szCs w:val="20"/>
              </w:rPr>
              <w:t>RECORDINGS PLAYED</w:t>
            </w:r>
          </w:p>
        </w:tc>
        <w:tc>
          <w:tcPr>
            <w:tcW w:w="7792" w:type="dxa"/>
          </w:tcPr>
          <w:p w:rsidR="00BA56AC" w:rsidRPr="00523AC4" w:rsidRDefault="00BA56AC" w:rsidP="000E71D1">
            <w:pPr>
              <w:pStyle w:val="NoSpacing"/>
              <w:rPr>
                <w:sz w:val="20"/>
                <w:szCs w:val="20"/>
              </w:rPr>
            </w:pPr>
            <w:r>
              <w:rPr>
                <w:sz w:val="20"/>
                <w:szCs w:val="20"/>
              </w:rPr>
              <w:t xml:space="preserve">Was the quality of the playback satisfactory? </w:t>
            </w:r>
            <w:r w:rsidRPr="00D43805">
              <w:rPr>
                <w:i/>
                <w:sz w:val="20"/>
                <w:szCs w:val="20"/>
              </w:rPr>
              <w:t>(and if not why not)</w:t>
            </w:r>
          </w:p>
        </w:tc>
      </w:tr>
    </w:tbl>
    <w:p w:rsidR="00BA56AC" w:rsidRDefault="00BA56AC" w:rsidP="00BA56AC">
      <w:pPr>
        <w:pStyle w:val="NoSpacing"/>
      </w:pPr>
    </w:p>
    <w:p w:rsidR="00BA56AC" w:rsidRDefault="00BA56AC" w:rsidP="00BA56AC">
      <w:pPr>
        <w:pStyle w:val="NoSpacing"/>
      </w:pPr>
    </w:p>
    <w:p w:rsidR="0023209C" w:rsidRDefault="0023209C" w:rsidP="00BA56AC">
      <w:pPr>
        <w:spacing w:after="0" w:line="240" w:lineRule="auto"/>
        <w:sectPr w:rsidR="0023209C" w:rsidSect="009D1C45">
          <w:headerReference w:type="default" r:id="rId16"/>
          <w:footerReference w:type="default" r:id="rId17"/>
          <w:pgSz w:w="11906" w:h="16838" w:code="9"/>
          <w:pgMar w:top="1440" w:right="1440" w:bottom="1440" w:left="1440" w:header="709" w:footer="709" w:gutter="0"/>
          <w:cols w:space="708"/>
          <w:titlePg/>
          <w:docGrid w:linePitch="360"/>
        </w:sectPr>
      </w:pPr>
    </w:p>
    <w:p w:rsidR="0023209C" w:rsidRDefault="0023209C" w:rsidP="00BA56AC">
      <w:pPr>
        <w:spacing w:after="0" w:line="240" w:lineRule="auto"/>
        <w:rPr>
          <w:b/>
          <w:color w:val="365F91" w:themeColor="accent1" w:themeShade="BF"/>
        </w:rPr>
      </w:pPr>
      <w:r w:rsidRPr="0023209C">
        <w:rPr>
          <w:b/>
          <w:color w:val="365F91" w:themeColor="accent1" w:themeShade="BF"/>
        </w:rPr>
        <w:lastRenderedPageBreak/>
        <w:t>APPENDIX 3 –</w:t>
      </w:r>
      <w:r>
        <w:rPr>
          <w:b/>
          <w:color w:val="365F91" w:themeColor="accent1" w:themeShade="BF"/>
        </w:rPr>
        <w:t xml:space="preserve"> THE</w:t>
      </w:r>
      <w:r w:rsidRPr="0023209C">
        <w:rPr>
          <w:b/>
          <w:color w:val="365F91" w:themeColor="accent1" w:themeShade="BF"/>
        </w:rPr>
        <w:t xml:space="preserve"> OUTCOMES</w:t>
      </w:r>
      <w:r w:rsidR="001831AB">
        <w:rPr>
          <w:b/>
          <w:color w:val="365F91" w:themeColor="accent1" w:themeShade="BF"/>
        </w:rPr>
        <w:t xml:space="preserve"> (for applications lodged in 2017)</w:t>
      </w:r>
    </w:p>
    <w:p w:rsidR="0023209C" w:rsidRPr="001831AB" w:rsidRDefault="001831AB" w:rsidP="00BA56AC">
      <w:pPr>
        <w:spacing w:after="0" w:line="240" w:lineRule="auto"/>
        <w:rPr>
          <w:color w:val="365F91" w:themeColor="accent1" w:themeShade="BF"/>
        </w:rPr>
      </w:pPr>
      <w:r>
        <w:rPr>
          <w:color w:val="365F91" w:themeColor="accent1" w:themeShade="BF"/>
        </w:rPr>
        <w:t xml:space="preserve">For </w:t>
      </w:r>
      <w:r w:rsidR="00E31619" w:rsidRPr="00E31619">
        <w:rPr>
          <w:i/>
          <w:color w:val="365F91" w:themeColor="accent1" w:themeShade="BF"/>
        </w:rPr>
        <w:t>Evidence by Commissioner</w:t>
      </w:r>
      <w:r w:rsidR="00E31619" w:rsidRPr="00E31619">
        <w:rPr>
          <w:color w:val="365F91" w:themeColor="accent1" w:themeShade="BF"/>
        </w:rPr>
        <w:t xml:space="preserve"> </w:t>
      </w:r>
      <w:proofErr w:type="gramStart"/>
      <w:r>
        <w:rPr>
          <w:color w:val="365F91" w:themeColor="accent1" w:themeShade="BF"/>
        </w:rPr>
        <w:t>applications</w:t>
      </w:r>
      <w:proofErr w:type="gramEnd"/>
      <w:r>
        <w:rPr>
          <w:color w:val="365F91" w:themeColor="accent1" w:themeShade="BF"/>
        </w:rPr>
        <w:t xml:space="preserve"> lodged in 2017, t</w:t>
      </w:r>
      <w:r w:rsidR="0023209C" w:rsidRPr="001831AB">
        <w:rPr>
          <w:color w:val="365F91" w:themeColor="accent1" w:themeShade="BF"/>
        </w:rPr>
        <w:t xml:space="preserve">he </w:t>
      </w:r>
      <w:r>
        <w:rPr>
          <w:color w:val="365F91" w:themeColor="accent1" w:themeShade="BF"/>
        </w:rPr>
        <w:t xml:space="preserve">eventual </w:t>
      </w:r>
      <w:r w:rsidR="0023209C" w:rsidRPr="001831AB">
        <w:rPr>
          <w:color w:val="365F91" w:themeColor="accent1" w:themeShade="BF"/>
        </w:rPr>
        <w:t xml:space="preserve">outcomes at </w:t>
      </w:r>
      <w:r w:rsidR="00E31619">
        <w:rPr>
          <w:color w:val="365F91" w:themeColor="accent1" w:themeShade="BF"/>
        </w:rPr>
        <w:t xml:space="preserve">each </w:t>
      </w:r>
      <w:r w:rsidRPr="001831AB">
        <w:rPr>
          <w:color w:val="365F91" w:themeColor="accent1" w:themeShade="BF"/>
        </w:rPr>
        <w:t>key</w:t>
      </w:r>
      <w:r w:rsidR="0023209C" w:rsidRPr="001831AB">
        <w:rPr>
          <w:color w:val="365F91" w:themeColor="accent1" w:themeShade="BF"/>
        </w:rPr>
        <w:t xml:space="preserve"> stage</w:t>
      </w:r>
      <w:r w:rsidR="00E31619">
        <w:rPr>
          <w:color w:val="365F91" w:themeColor="accent1" w:themeShade="BF"/>
        </w:rPr>
        <w:t xml:space="preserve"> in</w:t>
      </w:r>
      <w:r w:rsidR="0023209C" w:rsidRPr="001831AB">
        <w:rPr>
          <w:color w:val="365F91" w:themeColor="accent1" w:themeShade="BF"/>
        </w:rPr>
        <w:t xml:space="preserve"> the </w:t>
      </w:r>
      <w:r>
        <w:rPr>
          <w:color w:val="365F91" w:themeColor="accent1" w:themeShade="BF"/>
        </w:rPr>
        <w:t>procedure were</w:t>
      </w:r>
      <w:r w:rsidRPr="001831AB">
        <w:rPr>
          <w:color w:val="365F91" w:themeColor="accent1" w:themeShade="BF"/>
        </w:rPr>
        <w:t>:</w:t>
      </w:r>
    </w:p>
    <w:p w:rsidR="0023209C" w:rsidRDefault="00D25CCF" w:rsidP="00BA56AC">
      <w:pPr>
        <w:spacing w:after="0" w:line="240" w:lineRule="auto"/>
        <w:rPr>
          <w:b/>
          <w:color w:val="365F91" w:themeColor="accent1" w:themeShade="BF"/>
        </w:rPr>
      </w:pPr>
      <w:r w:rsidRPr="00D25CCF">
        <w:rPr>
          <w:noProof/>
        </w:rPr>
        <w:drawing>
          <wp:inline distT="0" distB="0" distL="0" distR="0">
            <wp:extent cx="8705850" cy="531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5850" cy="5314950"/>
                    </a:xfrm>
                    <a:prstGeom prst="rect">
                      <a:avLst/>
                    </a:prstGeom>
                    <a:noFill/>
                    <a:ln>
                      <a:noFill/>
                    </a:ln>
                  </pic:spPr>
                </pic:pic>
              </a:graphicData>
            </a:graphic>
          </wp:inline>
        </w:drawing>
      </w:r>
    </w:p>
    <w:sectPr w:rsidR="0023209C" w:rsidSect="0023209C">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72" w:rsidRDefault="008C3872" w:rsidP="00B71018">
      <w:pPr>
        <w:spacing w:after="0" w:line="240" w:lineRule="auto"/>
      </w:pPr>
      <w:r>
        <w:separator/>
      </w:r>
    </w:p>
  </w:endnote>
  <w:endnote w:type="continuationSeparator" w:id="0">
    <w:p w:rsidR="008C3872" w:rsidRDefault="008C3872" w:rsidP="00B7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839277982"/>
      <w:docPartObj>
        <w:docPartGallery w:val="Page Numbers (Bottom of Page)"/>
        <w:docPartUnique/>
      </w:docPartObj>
    </w:sdtPr>
    <w:sdtEndPr>
      <w:rPr>
        <w:noProof/>
      </w:rPr>
    </w:sdtEndPr>
    <w:sdtContent>
      <w:p w:rsidR="008C3872" w:rsidRPr="00B71018" w:rsidRDefault="008C3872" w:rsidP="00B71018">
        <w:pPr>
          <w:pStyle w:val="NoSpacing"/>
          <w:jc w:val="center"/>
          <w:rPr>
            <w:i/>
            <w:sz w:val="20"/>
            <w:szCs w:val="20"/>
          </w:rPr>
        </w:pPr>
        <w:r w:rsidRPr="00B71018">
          <w:rPr>
            <w:i/>
            <w:sz w:val="20"/>
            <w:szCs w:val="20"/>
          </w:rPr>
          <w:fldChar w:fldCharType="begin"/>
        </w:r>
        <w:r w:rsidRPr="00B71018">
          <w:rPr>
            <w:i/>
            <w:sz w:val="20"/>
            <w:szCs w:val="20"/>
          </w:rPr>
          <w:instrText xml:space="preserve"> PAGE   \* MERGEFORMAT </w:instrText>
        </w:r>
        <w:r w:rsidRPr="00B71018">
          <w:rPr>
            <w:i/>
            <w:sz w:val="20"/>
            <w:szCs w:val="20"/>
          </w:rPr>
          <w:fldChar w:fldCharType="separate"/>
        </w:r>
        <w:r w:rsidR="009F7C7A">
          <w:rPr>
            <w:i/>
            <w:noProof/>
            <w:sz w:val="20"/>
            <w:szCs w:val="20"/>
          </w:rPr>
          <w:t>2</w:t>
        </w:r>
        <w:r w:rsidRPr="00B71018">
          <w:rPr>
            <w:i/>
            <w:noProof/>
            <w:sz w:val="20"/>
            <w:szCs w:val="20"/>
          </w:rPr>
          <w:fldChar w:fldCharType="end"/>
        </w:r>
      </w:p>
    </w:sdtContent>
  </w:sdt>
  <w:p w:rsidR="008C3872" w:rsidRPr="00B71018" w:rsidRDefault="008C3872" w:rsidP="00B71018">
    <w:pPr>
      <w:pStyle w:val="NoSpacing"/>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72" w:rsidRDefault="008C3872" w:rsidP="00B71018">
      <w:pPr>
        <w:spacing w:after="0" w:line="240" w:lineRule="auto"/>
      </w:pPr>
      <w:r>
        <w:separator/>
      </w:r>
    </w:p>
  </w:footnote>
  <w:footnote w:type="continuationSeparator" w:id="0">
    <w:p w:rsidR="008C3872" w:rsidRDefault="008C3872" w:rsidP="00B71018">
      <w:pPr>
        <w:spacing w:after="0" w:line="240" w:lineRule="auto"/>
      </w:pPr>
      <w:r>
        <w:continuationSeparator/>
      </w:r>
    </w:p>
  </w:footnote>
  <w:footnote w:id="1">
    <w:p w:rsidR="008C3872" w:rsidRPr="00A20956" w:rsidRDefault="008C3872">
      <w:pPr>
        <w:pStyle w:val="FootnoteText"/>
        <w:rPr>
          <w:i/>
        </w:rPr>
      </w:pPr>
      <w:r>
        <w:rPr>
          <w:rStyle w:val="FootnoteReference"/>
        </w:rPr>
        <w:footnoteRef/>
      </w:r>
      <w:r>
        <w:t xml:space="preserve"> </w:t>
      </w:r>
      <w:r w:rsidR="00486109">
        <w:rPr>
          <w:i/>
        </w:rPr>
        <w:t xml:space="preserve">Applications are made under section 271 </w:t>
      </w:r>
      <w:r w:rsidRPr="00A20956">
        <w:rPr>
          <w:i/>
        </w:rPr>
        <w:t>of the Criminal Procedure (Scotland) Act 1995</w:t>
      </w:r>
    </w:p>
  </w:footnote>
  <w:footnote w:id="2">
    <w:p w:rsidR="008C3872" w:rsidRDefault="008C3872" w:rsidP="0007206D">
      <w:pPr>
        <w:pStyle w:val="FootnoteText"/>
      </w:pPr>
      <w:r>
        <w:rPr>
          <w:rStyle w:val="FootnoteReference"/>
        </w:rPr>
        <w:footnoteRef/>
      </w:r>
      <w:r>
        <w:t xml:space="preserve"> </w:t>
      </w:r>
      <w:r w:rsidRPr="00175320">
        <w:rPr>
          <w:i/>
        </w:rPr>
        <w:t xml:space="preserve"> In</w:t>
      </w:r>
      <w:r>
        <w:rPr>
          <w:i/>
        </w:rPr>
        <w:t xml:space="preserve"> this case all 3 witnesses </w:t>
      </w:r>
      <w:r w:rsidRPr="00630D92">
        <w:rPr>
          <w:i/>
        </w:rPr>
        <w:t>were called</w:t>
      </w:r>
      <w:r>
        <w:rPr>
          <w:i/>
        </w:rPr>
        <w:t xml:space="preserve"> on the same day</w:t>
      </w:r>
      <w:r w:rsidRPr="00630D92">
        <w:rPr>
          <w:i/>
        </w:rPr>
        <w:t xml:space="preserve">, 2 had </w:t>
      </w:r>
      <w:r>
        <w:rPr>
          <w:i/>
        </w:rPr>
        <w:t>their evidence recorded</w:t>
      </w:r>
      <w:r w:rsidRPr="00630D92">
        <w:rPr>
          <w:i/>
        </w:rPr>
        <w:t xml:space="preserve"> </w:t>
      </w:r>
      <w:r>
        <w:rPr>
          <w:i/>
        </w:rPr>
        <w:t>and</w:t>
      </w:r>
      <w:r w:rsidRPr="00630D92">
        <w:rPr>
          <w:i/>
        </w:rPr>
        <w:t xml:space="preserve"> 1 failed to appear.</w:t>
      </w:r>
    </w:p>
  </w:footnote>
  <w:footnote w:id="3">
    <w:p w:rsidR="008C3872" w:rsidRPr="00972F6F" w:rsidRDefault="008C3872">
      <w:pPr>
        <w:pStyle w:val="FootnoteText"/>
        <w:rPr>
          <w:i/>
        </w:rPr>
      </w:pPr>
      <w:r>
        <w:rPr>
          <w:rStyle w:val="FootnoteReference"/>
        </w:rPr>
        <w:footnoteRef/>
      </w:r>
      <w:r>
        <w:t xml:space="preserve"> </w:t>
      </w:r>
      <w:r w:rsidRPr="00972F6F">
        <w:rPr>
          <w:i/>
        </w:rPr>
        <w:t xml:space="preserve">A theoretical technology solution would be multiple video feeds, but </w:t>
      </w:r>
      <w:r>
        <w:rPr>
          <w:i/>
        </w:rPr>
        <w:t xml:space="preserve">the logistics of </w:t>
      </w:r>
      <w:r w:rsidRPr="00972F6F">
        <w:rPr>
          <w:i/>
        </w:rPr>
        <w:t>taking multiple accused to multiple locations to view those feeds is seen as unworkable in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72" w:rsidRDefault="008C3872" w:rsidP="009D1C45">
    <w:pPr>
      <w:pStyle w:val="NoSpacing"/>
      <w:jc w:val="center"/>
      <w:rPr>
        <w:i/>
        <w:color w:val="365F91" w:themeColor="accent1" w:themeShade="BF"/>
      </w:rPr>
    </w:pPr>
    <w:r>
      <w:rPr>
        <w:i/>
        <w:color w:val="365F91" w:themeColor="accent1" w:themeShade="BF"/>
      </w:rPr>
      <w:t>Evaluation Report No. 2 – Practice Note 1 of 2017 (</w:t>
    </w:r>
    <w:r w:rsidRPr="00356F39">
      <w:rPr>
        <w:i/>
        <w:color w:val="365F91" w:themeColor="accent1" w:themeShade="BF"/>
      </w:rPr>
      <w:t>Evide</w:t>
    </w:r>
    <w:r>
      <w:rPr>
        <w:i/>
        <w:color w:val="365F91" w:themeColor="accent1" w:themeShade="BF"/>
      </w:rPr>
      <w:t>nce by Commissioner)</w:t>
    </w:r>
  </w:p>
  <w:p w:rsidR="008C3872" w:rsidRPr="00356F39" w:rsidRDefault="008C3872" w:rsidP="009D1C45">
    <w:pPr>
      <w:pStyle w:val="NoSpacing"/>
      <w:jc w:val="center"/>
      <w:rPr>
        <w:i/>
        <w:color w:val="365F91" w:themeColor="accent1" w:themeShade="BF"/>
      </w:rPr>
    </w:pPr>
    <w:r>
      <w:rPr>
        <w:i/>
        <w:color w:val="365F91" w:themeColor="accent1" w:themeShade="BF"/>
      </w:rPr>
      <w:t>Quantifying t</w:t>
    </w:r>
    <w:r w:rsidRPr="00356F39">
      <w:rPr>
        <w:i/>
        <w:color w:val="365F91" w:themeColor="accent1" w:themeShade="BF"/>
      </w:rPr>
      <w:t xml:space="preserve">he end outcomes for </w:t>
    </w:r>
    <w:r>
      <w:rPr>
        <w:i/>
        <w:color w:val="365F91" w:themeColor="accent1" w:themeShade="BF"/>
      </w:rPr>
      <w:t xml:space="preserve">the </w:t>
    </w:r>
    <w:r w:rsidRPr="00356F39">
      <w:rPr>
        <w:i/>
        <w:color w:val="365F91" w:themeColor="accent1" w:themeShade="BF"/>
      </w:rPr>
      <w:t>applications lodged in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4A"/>
    <w:multiLevelType w:val="hybridMultilevel"/>
    <w:tmpl w:val="1BB2BCBA"/>
    <w:lvl w:ilvl="0" w:tplc="03866C2A">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09434FB"/>
    <w:multiLevelType w:val="hybridMultilevel"/>
    <w:tmpl w:val="A1DA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50BC0"/>
    <w:multiLevelType w:val="hybridMultilevel"/>
    <w:tmpl w:val="ED34A83E"/>
    <w:lvl w:ilvl="0" w:tplc="E788FA0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1DB27386"/>
    <w:multiLevelType w:val="hybridMultilevel"/>
    <w:tmpl w:val="5BAC51BA"/>
    <w:lvl w:ilvl="0" w:tplc="B6044B4A">
      <w:numFmt w:val="bullet"/>
      <w:lvlText w:val=""/>
      <w:lvlJc w:val="left"/>
      <w:pPr>
        <w:ind w:left="1200" w:hanging="360"/>
      </w:pPr>
      <w:rPr>
        <w:rFonts w:ascii="Symbol" w:eastAsia="Symbol" w:hAnsi="Symbol" w:cs="Symbol" w:hint="default"/>
        <w:w w:val="100"/>
        <w:sz w:val="24"/>
        <w:szCs w:val="24"/>
      </w:rPr>
    </w:lvl>
    <w:lvl w:ilvl="1" w:tplc="BCEC5474">
      <w:numFmt w:val="bullet"/>
      <w:lvlText w:val="•"/>
      <w:lvlJc w:val="left"/>
      <w:pPr>
        <w:ind w:left="1934" w:hanging="360"/>
      </w:pPr>
      <w:rPr>
        <w:rFonts w:hint="default"/>
      </w:rPr>
    </w:lvl>
    <w:lvl w:ilvl="2" w:tplc="410CF40E">
      <w:numFmt w:val="bullet"/>
      <w:lvlText w:val="•"/>
      <w:lvlJc w:val="left"/>
      <w:pPr>
        <w:ind w:left="2669" w:hanging="360"/>
      </w:pPr>
      <w:rPr>
        <w:rFonts w:hint="default"/>
      </w:rPr>
    </w:lvl>
    <w:lvl w:ilvl="3" w:tplc="60309AA8">
      <w:numFmt w:val="bullet"/>
      <w:lvlText w:val="•"/>
      <w:lvlJc w:val="left"/>
      <w:pPr>
        <w:ind w:left="3403" w:hanging="360"/>
      </w:pPr>
      <w:rPr>
        <w:rFonts w:hint="default"/>
      </w:rPr>
    </w:lvl>
    <w:lvl w:ilvl="4" w:tplc="B77A48EC">
      <w:numFmt w:val="bullet"/>
      <w:lvlText w:val="•"/>
      <w:lvlJc w:val="left"/>
      <w:pPr>
        <w:ind w:left="4138" w:hanging="360"/>
      </w:pPr>
      <w:rPr>
        <w:rFonts w:hint="default"/>
      </w:rPr>
    </w:lvl>
    <w:lvl w:ilvl="5" w:tplc="11CAB7E6">
      <w:numFmt w:val="bullet"/>
      <w:lvlText w:val="•"/>
      <w:lvlJc w:val="left"/>
      <w:pPr>
        <w:ind w:left="4873" w:hanging="360"/>
      </w:pPr>
      <w:rPr>
        <w:rFonts w:hint="default"/>
      </w:rPr>
    </w:lvl>
    <w:lvl w:ilvl="6" w:tplc="6178B744">
      <w:numFmt w:val="bullet"/>
      <w:lvlText w:val="•"/>
      <w:lvlJc w:val="left"/>
      <w:pPr>
        <w:ind w:left="5607" w:hanging="360"/>
      </w:pPr>
      <w:rPr>
        <w:rFonts w:hint="default"/>
      </w:rPr>
    </w:lvl>
    <w:lvl w:ilvl="7" w:tplc="3B5C9AD8">
      <w:numFmt w:val="bullet"/>
      <w:lvlText w:val="•"/>
      <w:lvlJc w:val="left"/>
      <w:pPr>
        <w:ind w:left="6342" w:hanging="360"/>
      </w:pPr>
      <w:rPr>
        <w:rFonts w:hint="default"/>
      </w:rPr>
    </w:lvl>
    <w:lvl w:ilvl="8" w:tplc="CC1CCF3A">
      <w:numFmt w:val="bullet"/>
      <w:lvlText w:val="•"/>
      <w:lvlJc w:val="left"/>
      <w:pPr>
        <w:ind w:left="7077" w:hanging="360"/>
      </w:pPr>
      <w:rPr>
        <w:rFonts w:hint="default"/>
      </w:rPr>
    </w:lvl>
  </w:abstractNum>
  <w:abstractNum w:abstractNumId="4">
    <w:nsid w:val="1FB777DE"/>
    <w:multiLevelType w:val="hybridMultilevel"/>
    <w:tmpl w:val="BDF4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142FE"/>
    <w:multiLevelType w:val="hybridMultilevel"/>
    <w:tmpl w:val="74404292"/>
    <w:lvl w:ilvl="0" w:tplc="36666FCE">
      <w:numFmt w:val="bullet"/>
      <w:lvlText w:val=""/>
      <w:lvlJc w:val="left"/>
      <w:pPr>
        <w:ind w:left="1200" w:hanging="360"/>
      </w:pPr>
      <w:rPr>
        <w:rFonts w:ascii="Symbol" w:eastAsia="Symbol" w:hAnsi="Symbol" w:cs="Symbol" w:hint="default"/>
        <w:w w:val="100"/>
        <w:sz w:val="24"/>
        <w:szCs w:val="24"/>
      </w:rPr>
    </w:lvl>
    <w:lvl w:ilvl="1" w:tplc="A9ACC796">
      <w:numFmt w:val="bullet"/>
      <w:lvlText w:val="•"/>
      <w:lvlJc w:val="left"/>
      <w:pPr>
        <w:ind w:left="1934" w:hanging="360"/>
      </w:pPr>
      <w:rPr>
        <w:rFonts w:hint="default"/>
      </w:rPr>
    </w:lvl>
    <w:lvl w:ilvl="2" w:tplc="42121702">
      <w:numFmt w:val="bullet"/>
      <w:lvlText w:val="•"/>
      <w:lvlJc w:val="left"/>
      <w:pPr>
        <w:ind w:left="2669" w:hanging="360"/>
      </w:pPr>
      <w:rPr>
        <w:rFonts w:hint="default"/>
      </w:rPr>
    </w:lvl>
    <w:lvl w:ilvl="3" w:tplc="E5F69792">
      <w:numFmt w:val="bullet"/>
      <w:lvlText w:val="•"/>
      <w:lvlJc w:val="left"/>
      <w:pPr>
        <w:ind w:left="3403" w:hanging="360"/>
      </w:pPr>
      <w:rPr>
        <w:rFonts w:hint="default"/>
      </w:rPr>
    </w:lvl>
    <w:lvl w:ilvl="4" w:tplc="20BAFAF0">
      <w:numFmt w:val="bullet"/>
      <w:lvlText w:val="•"/>
      <w:lvlJc w:val="left"/>
      <w:pPr>
        <w:ind w:left="4138" w:hanging="360"/>
      </w:pPr>
      <w:rPr>
        <w:rFonts w:hint="default"/>
      </w:rPr>
    </w:lvl>
    <w:lvl w:ilvl="5" w:tplc="5AEECC3C">
      <w:numFmt w:val="bullet"/>
      <w:lvlText w:val="•"/>
      <w:lvlJc w:val="left"/>
      <w:pPr>
        <w:ind w:left="4873" w:hanging="360"/>
      </w:pPr>
      <w:rPr>
        <w:rFonts w:hint="default"/>
      </w:rPr>
    </w:lvl>
    <w:lvl w:ilvl="6" w:tplc="BA946276">
      <w:numFmt w:val="bullet"/>
      <w:lvlText w:val="•"/>
      <w:lvlJc w:val="left"/>
      <w:pPr>
        <w:ind w:left="5607" w:hanging="360"/>
      </w:pPr>
      <w:rPr>
        <w:rFonts w:hint="default"/>
      </w:rPr>
    </w:lvl>
    <w:lvl w:ilvl="7" w:tplc="BE8ED7E0">
      <w:numFmt w:val="bullet"/>
      <w:lvlText w:val="•"/>
      <w:lvlJc w:val="left"/>
      <w:pPr>
        <w:ind w:left="6342" w:hanging="360"/>
      </w:pPr>
      <w:rPr>
        <w:rFonts w:hint="default"/>
      </w:rPr>
    </w:lvl>
    <w:lvl w:ilvl="8" w:tplc="664626FC">
      <w:numFmt w:val="bullet"/>
      <w:lvlText w:val="•"/>
      <w:lvlJc w:val="left"/>
      <w:pPr>
        <w:ind w:left="7077" w:hanging="360"/>
      </w:pPr>
      <w:rPr>
        <w:rFonts w:hint="default"/>
      </w:rPr>
    </w:lvl>
  </w:abstractNum>
  <w:abstractNum w:abstractNumId="6">
    <w:nsid w:val="335333CF"/>
    <w:multiLevelType w:val="hybridMultilevel"/>
    <w:tmpl w:val="B7E69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90FAE"/>
    <w:multiLevelType w:val="hybridMultilevel"/>
    <w:tmpl w:val="61C89C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79333D7"/>
    <w:multiLevelType w:val="hybridMultilevel"/>
    <w:tmpl w:val="0FF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5E2497"/>
    <w:multiLevelType w:val="hybridMultilevel"/>
    <w:tmpl w:val="E3BAEE34"/>
    <w:lvl w:ilvl="0" w:tplc="41862E76">
      <w:numFmt w:val="bullet"/>
      <w:lvlText w:val="-"/>
      <w:lvlJc w:val="left"/>
      <w:pPr>
        <w:ind w:left="450" w:hanging="360"/>
      </w:pPr>
      <w:rPr>
        <w:rFonts w:ascii="Arial" w:eastAsia="Calibri" w:hAnsi="Arial" w:cs="Arial" w:hint="default"/>
        <w:sz w:val="32"/>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nsid w:val="4EC17B9D"/>
    <w:multiLevelType w:val="hybridMultilevel"/>
    <w:tmpl w:val="25126F7C"/>
    <w:lvl w:ilvl="0" w:tplc="404863B4">
      <w:numFmt w:val="bullet"/>
      <w:lvlText w:val=""/>
      <w:lvlJc w:val="left"/>
      <w:pPr>
        <w:ind w:left="1200" w:hanging="360"/>
      </w:pPr>
      <w:rPr>
        <w:rFonts w:ascii="Symbol" w:eastAsia="Symbol" w:hAnsi="Symbol" w:cs="Symbol" w:hint="default"/>
        <w:w w:val="100"/>
        <w:sz w:val="24"/>
        <w:szCs w:val="24"/>
      </w:rPr>
    </w:lvl>
    <w:lvl w:ilvl="1" w:tplc="78560BF0">
      <w:numFmt w:val="bullet"/>
      <w:lvlText w:val="•"/>
      <w:lvlJc w:val="left"/>
      <w:pPr>
        <w:ind w:left="1934" w:hanging="360"/>
      </w:pPr>
      <w:rPr>
        <w:rFonts w:hint="default"/>
      </w:rPr>
    </w:lvl>
    <w:lvl w:ilvl="2" w:tplc="7316B2D8">
      <w:numFmt w:val="bullet"/>
      <w:lvlText w:val="•"/>
      <w:lvlJc w:val="left"/>
      <w:pPr>
        <w:ind w:left="2669" w:hanging="360"/>
      </w:pPr>
      <w:rPr>
        <w:rFonts w:hint="default"/>
      </w:rPr>
    </w:lvl>
    <w:lvl w:ilvl="3" w:tplc="82CC3C2A">
      <w:numFmt w:val="bullet"/>
      <w:lvlText w:val="•"/>
      <w:lvlJc w:val="left"/>
      <w:pPr>
        <w:ind w:left="3403" w:hanging="360"/>
      </w:pPr>
      <w:rPr>
        <w:rFonts w:hint="default"/>
      </w:rPr>
    </w:lvl>
    <w:lvl w:ilvl="4" w:tplc="78DCFBCC">
      <w:numFmt w:val="bullet"/>
      <w:lvlText w:val="•"/>
      <w:lvlJc w:val="left"/>
      <w:pPr>
        <w:ind w:left="4138" w:hanging="360"/>
      </w:pPr>
      <w:rPr>
        <w:rFonts w:hint="default"/>
      </w:rPr>
    </w:lvl>
    <w:lvl w:ilvl="5" w:tplc="52365452">
      <w:numFmt w:val="bullet"/>
      <w:lvlText w:val="•"/>
      <w:lvlJc w:val="left"/>
      <w:pPr>
        <w:ind w:left="4873" w:hanging="360"/>
      </w:pPr>
      <w:rPr>
        <w:rFonts w:hint="default"/>
      </w:rPr>
    </w:lvl>
    <w:lvl w:ilvl="6" w:tplc="3BFA59B6">
      <w:numFmt w:val="bullet"/>
      <w:lvlText w:val="•"/>
      <w:lvlJc w:val="left"/>
      <w:pPr>
        <w:ind w:left="5607" w:hanging="360"/>
      </w:pPr>
      <w:rPr>
        <w:rFonts w:hint="default"/>
      </w:rPr>
    </w:lvl>
    <w:lvl w:ilvl="7" w:tplc="185E46A2">
      <w:numFmt w:val="bullet"/>
      <w:lvlText w:val="•"/>
      <w:lvlJc w:val="left"/>
      <w:pPr>
        <w:ind w:left="6342" w:hanging="360"/>
      </w:pPr>
      <w:rPr>
        <w:rFonts w:hint="default"/>
      </w:rPr>
    </w:lvl>
    <w:lvl w:ilvl="8" w:tplc="2C8EBB44">
      <w:numFmt w:val="bullet"/>
      <w:lvlText w:val="•"/>
      <w:lvlJc w:val="left"/>
      <w:pPr>
        <w:ind w:left="7077" w:hanging="360"/>
      </w:pPr>
      <w:rPr>
        <w:rFonts w:hint="default"/>
      </w:rPr>
    </w:lvl>
  </w:abstractNum>
  <w:abstractNum w:abstractNumId="11">
    <w:nsid w:val="54533559"/>
    <w:multiLevelType w:val="hybridMultilevel"/>
    <w:tmpl w:val="C9D2FFBC"/>
    <w:lvl w:ilvl="0" w:tplc="8D42969C">
      <w:numFmt w:val="bullet"/>
      <w:lvlText w:val=""/>
      <w:lvlJc w:val="left"/>
      <w:pPr>
        <w:ind w:left="1200" w:hanging="360"/>
      </w:pPr>
      <w:rPr>
        <w:rFonts w:ascii="Symbol" w:eastAsia="Symbol" w:hAnsi="Symbol" w:cs="Symbol" w:hint="default"/>
        <w:w w:val="100"/>
        <w:sz w:val="24"/>
        <w:szCs w:val="24"/>
      </w:rPr>
    </w:lvl>
    <w:lvl w:ilvl="1" w:tplc="80F2543A">
      <w:numFmt w:val="bullet"/>
      <w:lvlText w:val="•"/>
      <w:lvlJc w:val="left"/>
      <w:pPr>
        <w:ind w:left="1934" w:hanging="360"/>
      </w:pPr>
      <w:rPr>
        <w:rFonts w:hint="default"/>
      </w:rPr>
    </w:lvl>
    <w:lvl w:ilvl="2" w:tplc="9776FD3A">
      <w:numFmt w:val="bullet"/>
      <w:lvlText w:val="•"/>
      <w:lvlJc w:val="left"/>
      <w:pPr>
        <w:ind w:left="2669" w:hanging="360"/>
      </w:pPr>
      <w:rPr>
        <w:rFonts w:hint="default"/>
      </w:rPr>
    </w:lvl>
    <w:lvl w:ilvl="3" w:tplc="3ED261FE">
      <w:numFmt w:val="bullet"/>
      <w:lvlText w:val="•"/>
      <w:lvlJc w:val="left"/>
      <w:pPr>
        <w:ind w:left="3403" w:hanging="360"/>
      </w:pPr>
      <w:rPr>
        <w:rFonts w:hint="default"/>
      </w:rPr>
    </w:lvl>
    <w:lvl w:ilvl="4" w:tplc="CB8E7E3C">
      <w:numFmt w:val="bullet"/>
      <w:lvlText w:val="•"/>
      <w:lvlJc w:val="left"/>
      <w:pPr>
        <w:ind w:left="4138" w:hanging="360"/>
      </w:pPr>
      <w:rPr>
        <w:rFonts w:hint="default"/>
      </w:rPr>
    </w:lvl>
    <w:lvl w:ilvl="5" w:tplc="36B4EBBC">
      <w:numFmt w:val="bullet"/>
      <w:lvlText w:val="•"/>
      <w:lvlJc w:val="left"/>
      <w:pPr>
        <w:ind w:left="4873" w:hanging="360"/>
      </w:pPr>
      <w:rPr>
        <w:rFonts w:hint="default"/>
      </w:rPr>
    </w:lvl>
    <w:lvl w:ilvl="6" w:tplc="2BB8AC76">
      <w:numFmt w:val="bullet"/>
      <w:lvlText w:val="•"/>
      <w:lvlJc w:val="left"/>
      <w:pPr>
        <w:ind w:left="5607" w:hanging="360"/>
      </w:pPr>
      <w:rPr>
        <w:rFonts w:hint="default"/>
      </w:rPr>
    </w:lvl>
    <w:lvl w:ilvl="7" w:tplc="DDC44412">
      <w:numFmt w:val="bullet"/>
      <w:lvlText w:val="•"/>
      <w:lvlJc w:val="left"/>
      <w:pPr>
        <w:ind w:left="6342" w:hanging="360"/>
      </w:pPr>
      <w:rPr>
        <w:rFonts w:hint="default"/>
      </w:rPr>
    </w:lvl>
    <w:lvl w:ilvl="8" w:tplc="BB460ACA">
      <w:numFmt w:val="bullet"/>
      <w:lvlText w:val="•"/>
      <w:lvlJc w:val="left"/>
      <w:pPr>
        <w:ind w:left="7077" w:hanging="360"/>
      </w:pPr>
      <w:rPr>
        <w:rFonts w:hint="default"/>
      </w:rPr>
    </w:lvl>
  </w:abstractNum>
  <w:abstractNum w:abstractNumId="12">
    <w:nsid w:val="546D32D0"/>
    <w:multiLevelType w:val="hybridMultilevel"/>
    <w:tmpl w:val="14FA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70E00"/>
    <w:multiLevelType w:val="hybridMultilevel"/>
    <w:tmpl w:val="9DFC6F3E"/>
    <w:lvl w:ilvl="0" w:tplc="E788FA0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FA2D05"/>
    <w:multiLevelType w:val="hybridMultilevel"/>
    <w:tmpl w:val="9D1C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7C7DC0"/>
    <w:multiLevelType w:val="hybridMultilevel"/>
    <w:tmpl w:val="003E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A962A2"/>
    <w:multiLevelType w:val="hybridMultilevel"/>
    <w:tmpl w:val="44607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943EA1"/>
    <w:multiLevelType w:val="hybridMultilevel"/>
    <w:tmpl w:val="CD56EA48"/>
    <w:lvl w:ilvl="0" w:tplc="2856BE5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73BF3FA0"/>
    <w:multiLevelType w:val="hybridMultilevel"/>
    <w:tmpl w:val="2C6C9474"/>
    <w:lvl w:ilvl="0" w:tplc="ABA2E9C6">
      <w:start w:val="1"/>
      <w:numFmt w:val="decimal"/>
      <w:lvlText w:val="%1."/>
      <w:lvlJc w:val="left"/>
      <w:pPr>
        <w:ind w:left="840" w:hanging="720"/>
      </w:pPr>
      <w:rPr>
        <w:rFonts w:ascii="Palatino Linotype" w:eastAsia="Palatino Linotype" w:hAnsi="Palatino Linotype" w:cs="Palatino Linotype" w:hint="default"/>
        <w:spacing w:val="-3"/>
        <w:w w:val="100"/>
        <w:sz w:val="24"/>
        <w:szCs w:val="24"/>
      </w:rPr>
    </w:lvl>
    <w:lvl w:ilvl="1" w:tplc="10F2966C">
      <w:start w:val="1"/>
      <w:numFmt w:val="lowerLetter"/>
      <w:lvlText w:val="(%2)"/>
      <w:lvlJc w:val="left"/>
      <w:pPr>
        <w:ind w:left="1560" w:hanging="720"/>
      </w:pPr>
      <w:rPr>
        <w:rFonts w:ascii="Palatino Linotype" w:eastAsia="Palatino Linotype" w:hAnsi="Palatino Linotype" w:cs="Palatino Linotype" w:hint="default"/>
        <w:spacing w:val="-4"/>
        <w:w w:val="100"/>
        <w:sz w:val="24"/>
        <w:szCs w:val="24"/>
      </w:rPr>
    </w:lvl>
    <w:lvl w:ilvl="2" w:tplc="3B7A4554">
      <w:numFmt w:val="bullet"/>
      <w:lvlText w:val="•"/>
      <w:lvlJc w:val="left"/>
      <w:pPr>
        <w:ind w:left="2336" w:hanging="720"/>
      </w:pPr>
      <w:rPr>
        <w:rFonts w:hint="default"/>
      </w:rPr>
    </w:lvl>
    <w:lvl w:ilvl="3" w:tplc="F7040888">
      <w:numFmt w:val="bullet"/>
      <w:lvlText w:val="•"/>
      <w:lvlJc w:val="left"/>
      <w:pPr>
        <w:ind w:left="3112" w:hanging="720"/>
      </w:pPr>
      <w:rPr>
        <w:rFonts w:hint="default"/>
      </w:rPr>
    </w:lvl>
    <w:lvl w:ilvl="4" w:tplc="B4AEF972">
      <w:numFmt w:val="bullet"/>
      <w:lvlText w:val="•"/>
      <w:lvlJc w:val="left"/>
      <w:pPr>
        <w:ind w:left="3888" w:hanging="720"/>
      </w:pPr>
      <w:rPr>
        <w:rFonts w:hint="default"/>
      </w:rPr>
    </w:lvl>
    <w:lvl w:ilvl="5" w:tplc="35961A40">
      <w:numFmt w:val="bullet"/>
      <w:lvlText w:val="•"/>
      <w:lvlJc w:val="left"/>
      <w:pPr>
        <w:ind w:left="4665" w:hanging="720"/>
      </w:pPr>
      <w:rPr>
        <w:rFonts w:hint="default"/>
      </w:rPr>
    </w:lvl>
    <w:lvl w:ilvl="6" w:tplc="4B86EA64">
      <w:numFmt w:val="bullet"/>
      <w:lvlText w:val="•"/>
      <w:lvlJc w:val="left"/>
      <w:pPr>
        <w:ind w:left="5441" w:hanging="720"/>
      </w:pPr>
      <w:rPr>
        <w:rFonts w:hint="default"/>
      </w:rPr>
    </w:lvl>
    <w:lvl w:ilvl="7" w:tplc="7E5E6224">
      <w:numFmt w:val="bullet"/>
      <w:lvlText w:val="•"/>
      <w:lvlJc w:val="left"/>
      <w:pPr>
        <w:ind w:left="6217" w:hanging="720"/>
      </w:pPr>
      <w:rPr>
        <w:rFonts w:hint="default"/>
      </w:rPr>
    </w:lvl>
    <w:lvl w:ilvl="8" w:tplc="9E5A4FF0">
      <w:numFmt w:val="bullet"/>
      <w:lvlText w:val="•"/>
      <w:lvlJc w:val="left"/>
      <w:pPr>
        <w:ind w:left="6993" w:hanging="720"/>
      </w:pPr>
      <w:rPr>
        <w:rFonts w:hint="default"/>
      </w:rPr>
    </w:lvl>
  </w:abstractNum>
  <w:abstractNum w:abstractNumId="19">
    <w:nsid w:val="79190BB0"/>
    <w:multiLevelType w:val="hybridMultilevel"/>
    <w:tmpl w:val="3CC0E3C4"/>
    <w:lvl w:ilvl="0" w:tplc="A034779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7B0B1AE0"/>
    <w:multiLevelType w:val="hybridMultilevel"/>
    <w:tmpl w:val="8EDE5A0C"/>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7B18209E"/>
    <w:multiLevelType w:val="hybridMultilevel"/>
    <w:tmpl w:val="5BD6830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7"/>
  </w:num>
  <w:num w:numId="5">
    <w:abstractNumId w:val="8"/>
  </w:num>
  <w:num w:numId="6">
    <w:abstractNumId w:val="20"/>
  </w:num>
  <w:num w:numId="7">
    <w:abstractNumId w:val="16"/>
  </w:num>
  <w:num w:numId="8">
    <w:abstractNumId w:val="2"/>
  </w:num>
  <w:num w:numId="9">
    <w:abstractNumId w:val="21"/>
  </w:num>
  <w:num w:numId="10">
    <w:abstractNumId w:val="13"/>
  </w:num>
  <w:num w:numId="11">
    <w:abstractNumId w:val="19"/>
  </w:num>
  <w:num w:numId="12">
    <w:abstractNumId w:val="0"/>
  </w:num>
  <w:num w:numId="13">
    <w:abstractNumId w:val="9"/>
  </w:num>
  <w:num w:numId="14">
    <w:abstractNumId w:val="10"/>
  </w:num>
  <w:num w:numId="15">
    <w:abstractNumId w:val="11"/>
  </w:num>
  <w:num w:numId="16">
    <w:abstractNumId w:val="3"/>
  </w:num>
  <w:num w:numId="17">
    <w:abstractNumId w:val="5"/>
  </w:num>
  <w:num w:numId="18">
    <w:abstractNumId w:val="18"/>
  </w:num>
  <w:num w:numId="19">
    <w:abstractNumId w:val="15"/>
  </w:num>
  <w:num w:numId="20">
    <w:abstractNumId w:val="1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5B"/>
    <w:rsid w:val="00004E20"/>
    <w:rsid w:val="00013C28"/>
    <w:rsid w:val="00025415"/>
    <w:rsid w:val="000276A4"/>
    <w:rsid w:val="0004392C"/>
    <w:rsid w:val="00051EF3"/>
    <w:rsid w:val="0005664B"/>
    <w:rsid w:val="0007206D"/>
    <w:rsid w:val="000735C1"/>
    <w:rsid w:val="00074D38"/>
    <w:rsid w:val="000832E8"/>
    <w:rsid w:val="0008504C"/>
    <w:rsid w:val="0008666E"/>
    <w:rsid w:val="00095F05"/>
    <w:rsid w:val="000A59B3"/>
    <w:rsid w:val="000C046B"/>
    <w:rsid w:val="000D2925"/>
    <w:rsid w:val="000E258D"/>
    <w:rsid w:val="000E2C9B"/>
    <w:rsid w:val="000E71D1"/>
    <w:rsid w:val="000E7A6B"/>
    <w:rsid w:val="00105193"/>
    <w:rsid w:val="001163DB"/>
    <w:rsid w:val="0012227D"/>
    <w:rsid w:val="0012449F"/>
    <w:rsid w:val="001322B2"/>
    <w:rsid w:val="00140333"/>
    <w:rsid w:val="00151892"/>
    <w:rsid w:val="00175320"/>
    <w:rsid w:val="001831AB"/>
    <w:rsid w:val="001919F0"/>
    <w:rsid w:val="001B1EF7"/>
    <w:rsid w:val="001B2CB3"/>
    <w:rsid w:val="001B7852"/>
    <w:rsid w:val="001B7FB5"/>
    <w:rsid w:val="001C188E"/>
    <w:rsid w:val="001D071A"/>
    <w:rsid w:val="001E17DA"/>
    <w:rsid w:val="001F622E"/>
    <w:rsid w:val="001F7455"/>
    <w:rsid w:val="001F7978"/>
    <w:rsid w:val="00203BD7"/>
    <w:rsid w:val="00204EB2"/>
    <w:rsid w:val="0020568B"/>
    <w:rsid w:val="00220A02"/>
    <w:rsid w:val="00230876"/>
    <w:rsid w:val="0023209C"/>
    <w:rsid w:val="002353FD"/>
    <w:rsid w:val="002501F7"/>
    <w:rsid w:val="00275BB8"/>
    <w:rsid w:val="002A4A53"/>
    <w:rsid w:val="002A4CBA"/>
    <w:rsid w:val="002B4015"/>
    <w:rsid w:val="002C3950"/>
    <w:rsid w:val="002F0870"/>
    <w:rsid w:val="002F4040"/>
    <w:rsid w:val="00306F4A"/>
    <w:rsid w:val="00327B3C"/>
    <w:rsid w:val="003368F7"/>
    <w:rsid w:val="00340051"/>
    <w:rsid w:val="00342399"/>
    <w:rsid w:val="00343F40"/>
    <w:rsid w:val="00353B74"/>
    <w:rsid w:val="00356F39"/>
    <w:rsid w:val="00365E34"/>
    <w:rsid w:val="00371DBF"/>
    <w:rsid w:val="00381214"/>
    <w:rsid w:val="003A70BD"/>
    <w:rsid w:val="003C14C7"/>
    <w:rsid w:val="003C3210"/>
    <w:rsid w:val="003C5E31"/>
    <w:rsid w:val="003E23C3"/>
    <w:rsid w:val="003E73AC"/>
    <w:rsid w:val="003F41CB"/>
    <w:rsid w:val="00401C8A"/>
    <w:rsid w:val="00403280"/>
    <w:rsid w:val="004068D4"/>
    <w:rsid w:val="00410980"/>
    <w:rsid w:val="00420FA4"/>
    <w:rsid w:val="00424007"/>
    <w:rsid w:val="0042594B"/>
    <w:rsid w:val="00431641"/>
    <w:rsid w:val="00471662"/>
    <w:rsid w:val="00486109"/>
    <w:rsid w:val="0049609F"/>
    <w:rsid w:val="004A29C3"/>
    <w:rsid w:val="004B1964"/>
    <w:rsid w:val="004B6332"/>
    <w:rsid w:val="004C376C"/>
    <w:rsid w:val="004C74C1"/>
    <w:rsid w:val="004D3648"/>
    <w:rsid w:val="00523AC4"/>
    <w:rsid w:val="005273ED"/>
    <w:rsid w:val="00530963"/>
    <w:rsid w:val="00561CB5"/>
    <w:rsid w:val="005652BA"/>
    <w:rsid w:val="0057577F"/>
    <w:rsid w:val="00581224"/>
    <w:rsid w:val="00593D2C"/>
    <w:rsid w:val="005A2AAC"/>
    <w:rsid w:val="005D6644"/>
    <w:rsid w:val="005E4165"/>
    <w:rsid w:val="005F2419"/>
    <w:rsid w:val="005F2C2B"/>
    <w:rsid w:val="005F3B23"/>
    <w:rsid w:val="005F779C"/>
    <w:rsid w:val="00602678"/>
    <w:rsid w:val="00630D92"/>
    <w:rsid w:val="006335F4"/>
    <w:rsid w:val="00640E63"/>
    <w:rsid w:val="006449BC"/>
    <w:rsid w:val="006459B4"/>
    <w:rsid w:val="006543D6"/>
    <w:rsid w:val="006572B1"/>
    <w:rsid w:val="00663675"/>
    <w:rsid w:val="00672E31"/>
    <w:rsid w:val="00673250"/>
    <w:rsid w:val="00677EB9"/>
    <w:rsid w:val="006A7BFA"/>
    <w:rsid w:val="006C7B0E"/>
    <w:rsid w:val="006D423C"/>
    <w:rsid w:val="006D4FD9"/>
    <w:rsid w:val="006D54A3"/>
    <w:rsid w:val="006E5342"/>
    <w:rsid w:val="006F1DC7"/>
    <w:rsid w:val="007128EA"/>
    <w:rsid w:val="007159A9"/>
    <w:rsid w:val="00716755"/>
    <w:rsid w:val="00732273"/>
    <w:rsid w:val="00756879"/>
    <w:rsid w:val="00766379"/>
    <w:rsid w:val="007847B2"/>
    <w:rsid w:val="00787AB9"/>
    <w:rsid w:val="007A65AB"/>
    <w:rsid w:val="007B1539"/>
    <w:rsid w:val="007B7279"/>
    <w:rsid w:val="007C4E13"/>
    <w:rsid w:val="007E6170"/>
    <w:rsid w:val="007F4556"/>
    <w:rsid w:val="007F61E0"/>
    <w:rsid w:val="008114CD"/>
    <w:rsid w:val="00821E01"/>
    <w:rsid w:val="00836D14"/>
    <w:rsid w:val="0083782B"/>
    <w:rsid w:val="008415A4"/>
    <w:rsid w:val="00887A15"/>
    <w:rsid w:val="008A0B57"/>
    <w:rsid w:val="008B77A0"/>
    <w:rsid w:val="008C0A32"/>
    <w:rsid w:val="008C3872"/>
    <w:rsid w:val="008D70CB"/>
    <w:rsid w:val="008E46B3"/>
    <w:rsid w:val="009022E1"/>
    <w:rsid w:val="00921C01"/>
    <w:rsid w:val="00921E22"/>
    <w:rsid w:val="00931136"/>
    <w:rsid w:val="00932ED1"/>
    <w:rsid w:val="00933A54"/>
    <w:rsid w:val="00936DA8"/>
    <w:rsid w:val="00947565"/>
    <w:rsid w:val="00963C22"/>
    <w:rsid w:val="00972F6F"/>
    <w:rsid w:val="00993DE4"/>
    <w:rsid w:val="009956EA"/>
    <w:rsid w:val="009A0AE4"/>
    <w:rsid w:val="009A2CB3"/>
    <w:rsid w:val="009B502E"/>
    <w:rsid w:val="009C06C2"/>
    <w:rsid w:val="009D15AE"/>
    <w:rsid w:val="009D1C45"/>
    <w:rsid w:val="009F2EBF"/>
    <w:rsid w:val="009F3516"/>
    <w:rsid w:val="009F5369"/>
    <w:rsid w:val="009F7C7A"/>
    <w:rsid w:val="00A20956"/>
    <w:rsid w:val="00A225FA"/>
    <w:rsid w:val="00A34C02"/>
    <w:rsid w:val="00A40559"/>
    <w:rsid w:val="00A457F5"/>
    <w:rsid w:val="00A47FED"/>
    <w:rsid w:val="00A7436D"/>
    <w:rsid w:val="00A927A5"/>
    <w:rsid w:val="00AA73FD"/>
    <w:rsid w:val="00AC1B25"/>
    <w:rsid w:val="00AC3F75"/>
    <w:rsid w:val="00AC6678"/>
    <w:rsid w:val="00AF2AE9"/>
    <w:rsid w:val="00AF45B4"/>
    <w:rsid w:val="00B404F9"/>
    <w:rsid w:val="00B64B41"/>
    <w:rsid w:val="00B71018"/>
    <w:rsid w:val="00B80EF1"/>
    <w:rsid w:val="00B911F8"/>
    <w:rsid w:val="00B97969"/>
    <w:rsid w:val="00BA565B"/>
    <w:rsid w:val="00BA56AC"/>
    <w:rsid w:val="00BA5FC2"/>
    <w:rsid w:val="00BB6DD8"/>
    <w:rsid w:val="00BC4019"/>
    <w:rsid w:val="00BF203B"/>
    <w:rsid w:val="00C059A0"/>
    <w:rsid w:val="00C132C8"/>
    <w:rsid w:val="00C61008"/>
    <w:rsid w:val="00CA11C9"/>
    <w:rsid w:val="00CC632D"/>
    <w:rsid w:val="00CC6682"/>
    <w:rsid w:val="00CD0CE4"/>
    <w:rsid w:val="00CE3403"/>
    <w:rsid w:val="00CE4BE4"/>
    <w:rsid w:val="00CF0EBB"/>
    <w:rsid w:val="00CF7F11"/>
    <w:rsid w:val="00D13A36"/>
    <w:rsid w:val="00D21780"/>
    <w:rsid w:val="00D25CCF"/>
    <w:rsid w:val="00D31DA4"/>
    <w:rsid w:val="00D37CAB"/>
    <w:rsid w:val="00D43805"/>
    <w:rsid w:val="00D45C65"/>
    <w:rsid w:val="00D654AE"/>
    <w:rsid w:val="00D664B6"/>
    <w:rsid w:val="00D7167D"/>
    <w:rsid w:val="00D7229A"/>
    <w:rsid w:val="00D73C31"/>
    <w:rsid w:val="00D77444"/>
    <w:rsid w:val="00D8598D"/>
    <w:rsid w:val="00D94453"/>
    <w:rsid w:val="00DB205B"/>
    <w:rsid w:val="00DB7491"/>
    <w:rsid w:val="00DC3B17"/>
    <w:rsid w:val="00DD6A70"/>
    <w:rsid w:val="00E05686"/>
    <w:rsid w:val="00E06910"/>
    <w:rsid w:val="00E3003E"/>
    <w:rsid w:val="00E31619"/>
    <w:rsid w:val="00E36DFE"/>
    <w:rsid w:val="00E37D91"/>
    <w:rsid w:val="00EA32A6"/>
    <w:rsid w:val="00EA52B6"/>
    <w:rsid w:val="00EA637E"/>
    <w:rsid w:val="00EB5463"/>
    <w:rsid w:val="00EE1357"/>
    <w:rsid w:val="00EE4FCE"/>
    <w:rsid w:val="00F06958"/>
    <w:rsid w:val="00F23E01"/>
    <w:rsid w:val="00F322EC"/>
    <w:rsid w:val="00F35441"/>
    <w:rsid w:val="00F44EF8"/>
    <w:rsid w:val="00F566F4"/>
    <w:rsid w:val="00F755B5"/>
    <w:rsid w:val="00F864CA"/>
    <w:rsid w:val="00FA354C"/>
    <w:rsid w:val="00FC123B"/>
    <w:rsid w:val="00FD0FD6"/>
    <w:rsid w:val="00FE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49F"/>
    <w:rPr>
      <w:sz w:val="22"/>
      <w:szCs w:val="22"/>
      <w:lang w:eastAsia="en-US"/>
    </w:rPr>
  </w:style>
  <w:style w:type="paragraph" w:styleId="ListParagraph">
    <w:name w:val="List Paragraph"/>
    <w:basedOn w:val="Normal"/>
    <w:uiPriority w:val="34"/>
    <w:qFormat/>
    <w:rsid w:val="00821E01"/>
    <w:pPr>
      <w:ind w:left="720"/>
    </w:pPr>
  </w:style>
  <w:style w:type="paragraph" w:styleId="BalloonText">
    <w:name w:val="Balloon Text"/>
    <w:basedOn w:val="Normal"/>
    <w:link w:val="BalloonTextChar"/>
    <w:uiPriority w:val="99"/>
    <w:semiHidden/>
    <w:unhideWhenUsed/>
    <w:rsid w:val="00D7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9A"/>
    <w:rPr>
      <w:rFonts w:ascii="Tahoma" w:hAnsi="Tahoma" w:cs="Tahoma"/>
      <w:sz w:val="16"/>
      <w:szCs w:val="16"/>
    </w:rPr>
  </w:style>
  <w:style w:type="paragraph" w:styleId="NormalWeb">
    <w:name w:val="Normal (Web)"/>
    <w:basedOn w:val="Normal"/>
    <w:uiPriority w:val="99"/>
    <w:semiHidden/>
    <w:unhideWhenUsed/>
    <w:rsid w:val="00921C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71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018"/>
    <w:rPr>
      <w:sz w:val="22"/>
      <w:szCs w:val="22"/>
    </w:rPr>
  </w:style>
  <w:style w:type="paragraph" w:styleId="Footer">
    <w:name w:val="footer"/>
    <w:basedOn w:val="Normal"/>
    <w:link w:val="FooterChar"/>
    <w:uiPriority w:val="99"/>
    <w:unhideWhenUsed/>
    <w:rsid w:val="00B71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018"/>
    <w:rPr>
      <w:sz w:val="22"/>
      <w:szCs w:val="22"/>
    </w:rPr>
  </w:style>
  <w:style w:type="table" w:styleId="TableGrid">
    <w:name w:val="Table Grid"/>
    <w:basedOn w:val="TableNormal"/>
    <w:uiPriority w:val="59"/>
    <w:rsid w:val="0052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4AE"/>
    <w:rPr>
      <w:color w:val="0000FF" w:themeColor="hyperlink"/>
      <w:u w:val="single"/>
    </w:rPr>
  </w:style>
  <w:style w:type="paragraph" w:styleId="FootnoteText">
    <w:name w:val="footnote text"/>
    <w:basedOn w:val="Normal"/>
    <w:link w:val="FootnoteTextChar"/>
    <w:uiPriority w:val="99"/>
    <w:semiHidden/>
    <w:unhideWhenUsed/>
    <w:rsid w:val="00630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D92"/>
  </w:style>
  <w:style w:type="character" w:styleId="FootnoteReference">
    <w:name w:val="footnote reference"/>
    <w:basedOn w:val="DefaultParagraphFont"/>
    <w:uiPriority w:val="99"/>
    <w:semiHidden/>
    <w:unhideWhenUsed/>
    <w:rsid w:val="00630D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49F"/>
    <w:rPr>
      <w:sz w:val="22"/>
      <w:szCs w:val="22"/>
      <w:lang w:eastAsia="en-US"/>
    </w:rPr>
  </w:style>
  <w:style w:type="paragraph" w:styleId="ListParagraph">
    <w:name w:val="List Paragraph"/>
    <w:basedOn w:val="Normal"/>
    <w:uiPriority w:val="34"/>
    <w:qFormat/>
    <w:rsid w:val="00821E01"/>
    <w:pPr>
      <w:ind w:left="720"/>
    </w:pPr>
  </w:style>
  <w:style w:type="paragraph" w:styleId="BalloonText">
    <w:name w:val="Balloon Text"/>
    <w:basedOn w:val="Normal"/>
    <w:link w:val="BalloonTextChar"/>
    <w:uiPriority w:val="99"/>
    <w:semiHidden/>
    <w:unhideWhenUsed/>
    <w:rsid w:val="00D7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9A"/>
    <w:rPr>
      <w:rFonts w:ascii="Tahoma" w:hAnsi="Tahoma" w:cs="Tahoma"/>
      <w:sz w:val="16"/>
      <w:szCs w:val="16"/>
    </w:rPr>
  </w:style>
  <w:style w:type="paragraph" w:styleId="NormalWeb">
    <w:name w:val="Normal (Web)"/>
    <w:basedOn w:val="Normal"/>
    <w:uiPriority w:val="99"/>
    <w:semiHidden/>
    <w:unhideWhenUsed/>
    <w:rsid w:val="00921C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71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018"/>
    <w:rPr>
      <w:sz w:val="22"/>
      <w:szCs w:val="22"/>
    </w:rPr>
  </w:style>
  <w:style w:type="paragraph" w:styleId="Footer">
    <w:name w:val="footer"/>
    <w:basedOn w:val="Normal"/>
    <w:link w:val="FooterChar"/>
    <w:uiPriority w:val="99"/>
    <w:unhideWhenUsed/>
    <w:rsid w:val="00B71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018"/>
    <w:rPr>
      <w:sz w:val="22"/>
      <w:szCs w:val="22"/>
    </w:rPr>
  </w:style>
  <w:style w:type="table" w:styleId="TableGrid">
    <w:name w:val="Table Grid"/>
    <w:basedOn w:val="TableNormal"/>
    <w:uiPriority w:val="59"/>
    <w:rsid w:val="0052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4AE"/>
    <w:rPr>
      <w:color w:val="0000FF" w:themeColor="hyperlink"/>
      <w:u w:val="single"/>
    </w:rPr>
  </w:style>
  <w:style w:type="paragraph" w:styleId="FootnoteText">
    <w:name w:val="footnote text"/>
    <w:basedOn w:val="Normal"/>
    <w:link w:val="FootnoteTextChar"/>
    <w:uiPriority w:val="99"/>
    <w:semiHidden/>
    <w:unhideWhenUsed/>
    <w:rsid w:val="00630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D92"/>
  </w:style>
  <w:style w:type="character" w:styleId="FootnoteReference">
    <w:name w:val="footnote reference"/>
    <w:basedOn w:val="DefaultParagraphFont"/>
    <w:uiPriority w:val="99"/>
    <w:semiHidden/>
    <w:unhideWhenUsed/>
    <w:rsid w:val="00630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402">
      <w:bodyDiv w:val="1"/>
      <w:marLeft w:val="0"/>
      <w:marRight w:val="0"/>
      <w:marTop w:val="0"/>
      <w:marBottom w:val="0"/>
      <w:divBdr>
        <w:top w:val="none" w:sz="0" w:space="0" w:color="auto"/>
        <w:left w:val="none" w:sz="0" w:space="0" w:color="auto"/>
        <w:bottom w:val="none" w:sz="0" w:space="0" w:color="auto"/>
        <w:right w:val="none" w:sz="0" w:space="0" w:color="auto"/>
      </w:divBdr>
    </w:div>
    <w:div w:id="65228778">
      <w:bodyDiv w:val="1"/>
      <w:marLeft w:val="0"/>
      <w:marRight w:val="0"/>
      <w:marTop w:val="0"/>
      <w:marBottom w:val="0"/>
      <w:divBdr>
        <w:top w:val="none" w:sz="0" w:space="0" w:color="auto"/>
        <w:left w:val="none" w:sz="0" w:space="0" w:color="auto"/>
        <w:bottom w:val="none" w:sz="0" w:space="0" w:color="auto"/>
        <w:right w:val="none" w:sz="0" w:space="0" w:color="auto"/>
      </w:divBdr>
    </w:div>
    <w:div w:id="384908692">
      <w:bodyDiv w:val="1"/>
      <w:marLeft w:val="0"/>
      <w:marRight w:val="0"/>
      <w:marTop w:val="0"/>
      <w:marBottom w:val="0"/>
      <w:divBdr>
        <w:top w:val="none" w:sz="0" w:space="0" w:color="auto"/>
        <w:left w:val="none" w:sz="0" w:space="0" w:color="auto"/>
        <w:bottom w:val="none" w:sz="0" w:space="0" w:color="auto"/>
        <w:right w:val="none" w:sz="0" w:space="0" w:color="auto"/>
      </w:divBdr>
    </w:div>
    <w:div w:id="697124668">
      <w:bodyDiv w:val="1"/>
      <w:marLeft w:val="0"/>
      <w:marRight w:val="0"/>
      <w:marTop w:val="0"/>
      <w:marBottom w:val="0"/>
      <w:divBdr>
        <w:top w:val="none" w:sz="0" w:space="0" w:color="auto"/>
        <w:left w:val="none" w:sz="0" w:space="0" w:color="auto"/>
        <w:bottom w:val="none" w:sz="0" w:space="0" w:color="auto"/>
        <w:right w:val="none" w:sz="0" w:space="0" w:color="auto"/>
      </w:divBdr>
    </w:div>
    <w:div w:id="1692951706">
      <w:bodyDiv w:val="1"/>
      <w:marLeft w:val="0"/>
      <w:marRight w:val="0"/>
      <w:marTop w:val="0"/>
      <w:marBottom w:val="0"/>
      <w:divBdr>
        <w:top w:val="none" w:sz="0" w:space="0" w:color="auto"/>
        <w:left w:val="none" w:sz="0" w:space="0" w:color="auto"/>
        <w:bottom w:val="none" w:sz="0" w:space="0" w:color="auto"/>
        <w:right w:val="none" w:sz="0" w:space="0" w:color="auto"/>
      </w:divBdr>
    </w:div>
    <w:div w:id="1849563040">
      <w:bodyDiv w:val="1"/>
      <w:marLeft w:val="0"/>
      <w:marRight w:val="0"/>
      <w:marTop w:val="0"/>
      <w:marBottom w:val="0"/>
      <w:divBdr>
        <w:top w:val="none" w:sz="0" w:space="0" w:color="auto"/>
        <w:left w:val="none" w:sz="0" w:space="0" w:color="auto"/>
        <w:bottom w:val="none" w:sz="0" w:space="0" w:color="auto"/>
        <w:right w:val="none" w:sz="0" w:space="0" w:color="auto"/>
      </w:divBdr>
    </w:div>
    <w:div w:id="21106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theadvocatesgateway.org/" TargetMode="External"/><Relationship Id="rId10" Type="http://schemas.openxmlformats.org/officeDocument/2006/relationships/hyperlink" Target="http://www.scotcourts.gov.uk/docs/default-source/rules-and-practice/practice-notes/criminal-courts/criminal-courts---practice-note---number-1-of-2017.pdf?sfvrsn=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DAC8-5D4B-46A8-B005-DB3DFFFB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17</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cmccorkindale</dc:creator>
  <cp:lastModifiedBy>cmccorkindale</cp:lastModifiedBy>
  <cp:revision>44</cp:revision>
  <cp:lastPrinted>2018-11-28T16:52:00Z</cp:lastPrinted>
  <dcterms:created xsi:type="dcterms:W3CDTF">2018-11-13T14:15:00Z</dcterms:created>
  <dcterms:modified xsi:type="dcterms:W3CDTF">2018-12-11T08:29:00Z</dcterms:modified>
</cp:coreProperties>
</file>