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87" w:rsidRDefault="00ED0E87" w:rsidP="00ED0E87">
      <w:pPr>
        <w:rPr>
          <w:rFonts w:ascii="Arial" w:hAnsi="Arial" w:cs="Arial"/>
        </w:rPr>
      </w:pPr>
    </w:p>
    <w:p w:rsidR="00ED0E87" w:rsidRDefault="005A619A" w:rsidP="00ED0E87">
      <w:pPr>
        <w:jc w:val="right"/>
        <w:rPr>
          <w:rFonts w:ascii="Arial" w:hAnsi="Arial" w:cs="Arial"/>
        </w:rPr>
      </w:pPr>
      <w:r>
        <w:rPr>
          <w:noProof/>
        </w:rPr>
        <w:drawing>
          <wp:inline distT="0" distB="0" distL="0" distR="0">
            <wp:extent cx="3971925" cy="1171575"/>
            <wp:effectExtent l="0" t="0" r="9525" b="9525"/>
            <wp:docPr id="2" name="Picture 2" descr="Description: http://myscs/library/Support/Templates/Crests/Scottish_Courts_Tribunals_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yscs/library/Support/Templates/Crests/Scottish_Courts_Tribunals_Servi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1171575"/>
                    </a:xfrm>
                    <a:prstGeom prst="rect">
                      <a:avLst/>
                    </a:prstGeom>
                    <a:noFill/>
                    <a:ln>
                      <a:noFill/>
                    </a:ln>
                  </pic:spPr>
                </pic:pic>
              </a:graphicData>
            </a:graphic>
          </wp:inline>
        </w:drawing>
      </w:r>
    </w:p>
    <w:p w:rsidR="00ED0E87" w:rsidRDefault="00ED0E87" w:rsidP="00ED0E87">
      <w:pPr>
        <w:rPr>
          <w:rFonts w:ascii="Arial" w:hAnsi="Arial" w:cs="Arial"/>
        </w:rPr>
      </w:pPr>
    </w:p>
    <w:p w:rsidR="00ED0E87" w:rsidRDefault="00ED0E87" w:rsidP="00ED0E87">
      <w:pPr>
        <w:rPr>
          <w:rFonts w:ascii="Arial" w:hAnsi="Arial" w:cs="Arial"/>
        </w:rPr>
      </w:pPr>
    </w:p>
    <w:p w:rsidR="00ED0E87" w:rsidRDefault="00ED0E87" w:rsidP="00ED0E87">
      <w:pPr>
        <w:rPr>
          <w:rFonts w:ascii="Arial" w:hAnsi="Arial" w:cs="Arial"/>
        </w:rPr>
      </w:pPr>
    </w:p>
    <w:p w:rsidR="00ED0E87" w:rsidRDefault="00ED0E87" w:rsidP="00ED0E87">
      <w:pPr>
        <w:rPr>
          <w:rFonts w:ascii="Arial" w:hAnsi="Arial" w:cs="Arial"/>
        </w:rPr>
      </w:pPr>
    </w:p>
    <w:p w:rsidR="00ED0E87" w:rsidRDefault="00ED0E87" w:rsidP="00ED0E87">
      <w:pPr>
        <w:rPr>
          <w:rFonts w:ascii="Arial" w:hAnsi="Arial" w:cs="Arial"/>
        </w:rPr>
      </w:pPr>
    </w:p>
    <w:p w:rsidR="00ED0E87" w:rsidRPr="00C02711" w:rsidRDefault="00ED0E87" w:rsidP="00ED0E87">
      <w:pPr>
        <w:rPr>
          <w:rFonts w:ascii="Arial" w:hAnsi="Arial" w:cs="Arial"/>
          <w:sz w:val="44"/>
          <w:szCs w:val="44"/>
        </w:rPr>
      </w:pPr>
    </w:p>
    <w:p w:rsidR="00ED0E87" w:rsidRPr="00C02711" w:rsidRDefault="00ED0E87" w:rsidP="00ED0E87">
      <w:pPr>
        <w:rPr>
          <w:rFonts w:ascii="Arial" w:hAnsi="Arial" w:cs="Arial"/>
          <w:sz w:val="44"/>
          <w:szCs w:val="44"/>
        </w:rPr>
      </w:pPr>
    </w:p>
    <w:p w:rsidR="006133C9" w:rsidRDefault="006133C9" w:rsidP="00ED0E87">
      <w:pPr>
        <w:rPr>
          <w:rFonts w:ascii="Arial" w:hAnsi="Arial" w:cs="Arial"/>
          <w:sz w:val="44"/>
          <w:szCs w:val="44"/>
        </w:rPr>
      </w:pPr>
      <w:r w:rsidRPr="00C02711">
        <w:rPr>
          <w:rFonts w:ascii="Arial" w:hAnsi="Arial" w:cs="Arial"/>
          <w:sz w:val="44"/>
          <w:szCs w:val="44"/>
        </w:rPr>
        <w:t>SC</w:t>
      </w:r>
      <w:r w:rsidR="005A619A">
        <w:rPr>
          <w:rFonts w:ascii="Arial" w:hAnsi="Arial" w:cs="Arial"/>
          <w:sz w:val="44"/>
          <w:szCs w:val="44"/>
        </w:rPr>
        <w:t>T</w:t>
      </w:r>
      <w:r w:rsidRPr="00C02711">
        <w:rPr>
          <w:rFonts w:ascii="Arial" w:hAnsi="Arial" w:cs="Arial"/>
          <w:sz w:val="44"/>
          <w:szCs w:val="44"/>
        </w:rPr>
        <w:t>S Board Scorecard</w:t>
      </w:r>
    </w:p>
    <w:p w:rsidR="006133C9" w:rsidRPr="00C02711" w:rsidRDefault="006133C9" w:rsidP="00ED0E87">
      <w:pPr>
        <w:rPr>
          <w:rFonts w:ascii="Arial" w:hAnsi="Arial" w:cs="Arial"/>
          <w:b/>
          <w:sz w:val="22"/>
          <w:szCs w:val="22"/>
        </w:rPr>
      </w:pPr>
    </w:p>
    <w:p w:rsidR="00ED0E87" w:rsidRPr="00C02711" w:rsidRDefault="006133C9" w:rsidP="00ED0E87">
      <w:pPr>
        <w:rPr>
          <w:rFonts w:ascii="Arial" w:hAnsi="Arial" w:cs="Arial"/>
          <w:sz w:val="44"/>
          <w:szCs w:val="44"/>
        </w:rPr>
      </w:pPr>
      <w:r w:rsidRPr="00C02711">
        <w:rPr>
          <w:rFonts w:ascii="Arial" w:hAnsi="Arial" w:cs="Arial"/>
          <w:sz w:val="44"/>
          <w:szCs w:val="44"/>
        </w:rPr>
        <w:t>Descriptions and Definitions</w:t>
      </w:r>
    </w:p>
    <w:p w:rsidR="006133C9" w:rsidRPr="00C02711" w:rsidRDefault="006133C9" w:rsidP="00ED0E87">
      <w:pPr>
        <w:rPr>
          <w:rFonts w:ascii="Arial" w:hAnsi="Arial" w:cs="Arial"/>
          <w:sz w:val="44"/>
          <w:szCs w:val="44"/>
        </w:rPr>
      </w:pPr>
    </w:p>
    <w:p w:rsidR="006133C9" w:rsidRPr="00C02711" w:rsidRDefault="006133C9" w:rsidP="00ED0E87">
      <w:pPr>
        <w:rPr>
          <w:rFonts w:ascii="Arial" w:hAnsi="Arial" w:cs="Arial"/>
          <w:sz w:val="32"/>
          <w:szCs w:val="32"/>
        </w:rPr>
      </w:pPr>
      <w:r w:rsidRPr="00C02711">
        <w:rPr>
          <w:rFonts w:ascii="Arial" w:hAnsi="Arial" w:cs="Arial"/>
          <w:sz w:val="32"/>
          <w:szCs w:val="32"/>
        </w:rPr>
        <w:t xml:space="preserve">Last Updated – </w:t>
      </w:r>
      <w:r w:rsidR="005A619A">
        <w:rPr>
          <w:rFonts w:ascii="Arial" w:hAnsi="Arial" w:cs="Arial"/>
          <w:sz w:val="32"/>
          <w:szCs w:val="32"/>
        </w:rPr>
        <w:t>August</w:t>
      </w:r>
      <w:r w:rsidR="005A619A" w:rsidRPr="00C02711">
        <w:rPr>
          <w:rFonts w:ascii="Arial" w:hAnsi="Arial" w:cs="Arial"/>
          <w:sz w:val="32"/>
          <w:szCs w:val="32"/>
        </w:rPr>
        <w:t xml:space="preserve"> </w:t>
      </w:r>
      <w:r w:rsidRPr="00C02711">
        <w:rPr>
          <w:rFonts w:ascii="Arial" w:hAnsi="Arial" w:cs="Arial"/>
          <w:sz w:val="32"/>
          <w:szCs w:val="32"/>
        </w:rPr>
        <w:t>201</w:t>
      </w:r>
      <w:r w:rsidR="00F124AB">
        <w:rPr>
          <w:rFonts w:ascii="Arial" w:hAnsi="Arial" w:cs="Arial"/>
          <w:sz w:val="32"/>
          <w:szCs w:val="32"/>
        </w:rPr>
        <w:t>6</w:t>
      </w:r>
      <w:bookmarkStart w:id="0" w:name="_GoBack"/>
      <w:bookmarkEnd w:id="0"/>
    </w:p>
    <w:p w:rsidR="00ED0E87" w:rsidRPr="00C02711" w:rsidRDefault="00ED0E87" w:rsidP="00ED0E87">
      <w:pPr>
        <w:rPr>
          <w:rFonts w:ascii="Arial" w:hAnsi="Arial" w:cs="Arial"/>
          <w:sz w:val="32"/>
          <w:szCs w:val="32"/>
        </w:rPr>
      </w:pPr>
    </w:p>
    <w:p w:rsidR="00ED0E87" w:rsidRPr="00D32830" w:rsidRDefault="00ED0E87" w:rsidP="00ED0E87">
      <w:pPr>
        <w:rPr>
          <w:rFonts w:ascii="Arial" w:hAnsi="Arial" w:cs="Arial"/>
          <w:b/>
          <w:sz w:val="22"/>
          <w:szCs w:val="22"/>
        </w:rPr>
      </w:pPr>
    </w:p>
    <w:p w:rsidR="00ED0E87" w:rsidRDefault="00ED0E87" w:rsidP="00ED0E87">
      <w:pPr>
        <w:rPr>
          <w:rFonts w:ascii="Arial" w:hAnsi="Arial" w:cs="Arial"/>
          <w:b/>
          <w:sz w:val="22"/>
          <w:szCs w:val="22"/>
        </w:rPr>
      </w:pPr>
    </w:p>
    <w:p w:rsidR="00BD0836" w:rsidRDefault="00BD0836" w:rsidP="00ED0E87">
      <w:pPr>
        <w:rPr>
          <w:rFonts w:ascii="Arial" w:hAnsi="Arial" w:cs="Arial"/>
          <w:b/>
          <w:sz w:val="22"/>
          <w:szCs w:val="22"/>
        </w:rPr>
      </w:pPr>
    </w:p>
    <w:p w:rsidR="00BD0836" w:rsidRDefault="00BD0836" w:rsidP="00ED0E87">
      <w:pPr>
        <w:rPr>
          <w:rFonts w:ascii="Arial" w:hAnsi="Arial" w:cs="Arial"/>
          <w:b/>
          <w:sz w:val="22"/>
          <w:szCs w:val="22"/>
        </w:rPr>
      </w:pPr>
    </w:p>
    <w:p w:rsidR="00BD0836" w:rsidRDefault="00BD0836" w:rsidP="00ED0E87">
      <w:pPr>
        <w:rPr>
          <w:rFonts w:ascii="Arial" w:hAnsi="Arial" w:cs="Arial"/>
          <w:b/>
          <w:sz w:val="22"/>
          <w:szCs w:val="22"/>
        </w:rPr>
      </w:pPr>
    </w:p>
    <w:p w:rsidR="00BD0836" w:rsidRPr="00BD0836" w:rsidRDefault="00BD0836" w:rsidP="00ED0E87">
      <w:pPr>
        <w:rPr>
          <w:rFonts w:ascii="Arial" w:hAnsi="Arial" w:cs="Arial"/>
          <w:b/>
          <w:sz w:val="22"/>
          <w:szCs w:val="22"/>
        </w:rPr>
      </w:pPr>
    </w:p>
    <w:p w:rsidR="00ED0E87" w:rsidRDefault="00ED0E87" w:rsidP="00ED0E87">
      <w:pPr>
        <w:rPr>
          <w:rFonts w:ascii="Arial" w:hAnsi="Arial" w:cs="Arial"/>
          <w:b/>
          <w:sz w:val="22"/>
          <w:szCs w:val="22"/>
        </w:rPr>
      </w:pPr>
    </w:p>
    <w:p w:rsidR="00BD0836" w:rsidRDefault="00D32830" w:rsidP="00ED0E87">
      <w:pPr>
        <w:rPr>
          <w:rFonts w:ascii="Arial" w:hAnsi="Arial" w:cs="Arial"/>
          <w:i/>
        </w:rPr>
      </w:pPr>
      <w:r w:rsidRPr="00C02711">
        <w:rPr>
          <w:rFonts w:ascii="Arial" w:hAnsi="Arial" w:cs="Arial"/>
          <w:i/>
        </w:rPr>
        <w:t>The SC</w:t>
      </w:r>
      <w:r w:rsidR="005A619A">
        <w:rPr>
          <w:rFonts w:ascii="Arial" w:hAnsi="Arial" w:cs="Arial"/>
          <w:i/>
        </w:rPr>
        <w:t>T</w:t>
      </w:r>
      <w:r w:rsidRPr="00C02711">
        <w:rPr>
          <w:rFonts w:ascii="Arial" w:hAnsi="Arial" w:cs="Arial"/>
          <w:i/>
        </w:rPr>
        <w:t xml:space="preserve">S Board </w:t>
      </w:r>
      <w:r w:rsidR="00BD0836">
        <w:rPr>
          <w:rFonts w:ascii="Arial" w:hAnsi="Arial" w:cs="Arial"/>
          <w:i/>
        </w:rPr>
        <w:t xml:space="preserve">is responsible for </w:t>
      </w:r>
      <w:r w:rsidR="00FD3DE6">
        <w:rPr>
          <w:rFonts w:ascii="Arial" w:hAnsi="Arial" w:cs="Arial"/>
          <w:i/>
        </w:rPr>
        <w:t>monitor</w:t>
      </w:r>
      <w:r w:rsidR="00BD0836">
        <w:rPr>
          <w:rFonts w:ascii="Arial" w:hAnsi="Arial" w:cs="Arial"/>
          <w:i/>
        </w:rPr>
        <w:t>ing overall</w:t>
      </w:r>
      <w:r w:rsidR="00FD3DE6">
        <w:rPr>
          <w:rFonts w:ascii="Arial" w:hAnsi="Arial" w:cs="Arial"/>
          <w:i/>
        </w:rPr>
        <w:t xml:space="preserve"> performance of the organisation as part of its governance role.  </w:t>
      </w:r>
      <w:r w:rsidR="00BD0836">
        <w:rPr>
          <w:rFonts w:ascii="Arial" w:hAnsi="Arial" w:cs="Arial"/>
          <w:i/>
        </w:rPr>
        <w:t>On a quarterly basis the Board</w:t>
      </w:r>
      <w:r w:rsidRPr="00C02711">
        <w:rPr>
          <w:rFonts w:ascii="Arial" w:hAnsi="Arial" w:cs="Arial"/>
          <w:i/>
        </w:rPr>
        <w:t xml:space="preserve"> scrutinises progress against delivery of </w:t>
      </w:r>
      <w:r w:rsidR="00FD3DE6">
        <w:rPr>
          <w:rFonts w:ascii="Arial" w:hAnsi="Arial" w:cs="Arial"/>
          <w:i/>
        </w:rPr>
        <w:t xml:space="preserve">the </w:t>
      </w:r>
      <w:r w:rsidRPr="00C02711">
        <w:rPr>
          <w:rFonts w:ascii="Arial" w:hAnsi="Arial" w:cs="Arial"/>
          <w:i/>
        </w:rPr>
        <w:t>Annual Business Plan</w:t>
      </w:r>
      <w:r w:rsidR="00BD0836">
        <w:rPr>
          <w:rFonts w:ascii="Arial" w:hAnsi="Arial" w:cs="Arial"/>
          <w:i/>
        </w:rPr>
        <w:t xml:space="preserve"> and </w:t>
      </w:r>
      <w:r w:rsidRPr="00C02711">
        <w:rPr>
          <w:rFonts w:ascii="Arial" w:hAnsi="Arial" w:cs="Arial"/>
          <w:i/>
        </w:rPr>
        <w:t xml:space="preserve">assesses a range of key performance indicators (KPIs) which provide an overview of </w:t>
      </w:r>
      <w:r w:rsidR="00BD0836">
        <w:rPr>
          <w:rFonts w:ascii="Arial" w:hAnsi="Arial" w:cs="Arial"/>
          <w:i/>
        </w:rPr>
        <w:t>performance.</w:t>
      </w:r>
      <w:r w:rsidR="00F21B61">
        <w:rPr>
          <w:rFonts w:ascii="Arial" w:hAnsi="Arial" w:cs="Arial"/>
          <w:i/>
        </w:rPr>
        <w:t xml:space="preserve">  These are presented to the Board in </w:t>
      </w:r>
      <w:r w:rsidR="005A619A">
        <w:rPr>
          <w:rFonts w:ascii="Arial" w:hAnsi="Arial" w:cs="Arial"/>
          <w:i/>
        </w:rPr>
        <w:t>its</w:t>
      </w:r>
      <w:r w:rsidR="00F21B61">
        <w:rPr>
          <w:rFonts w:ascii="Arial" w:hAnsi="Arial" w:cs="Arial"/>
          <w:i/>
        </w:rPr>
        <w:t xml:space="preserve"> performance scorecard.</w:t>
      </w:r>
    </w:p>
    <w:p w:rsidR="00BD0836" w:rsidRDefault="00BD0836" w:rsidP="00ED0E87">
      <w:pPr>
        <w:rPr>
          <w:rFonts w:ascii="Arial" w:hAnsi="Arial" w:cs="Arial"/>
          <w:i/>
        </w:rPr>
      </w:pPr>
    </w:p>
    <w:p w:rsidR="00ED0E87" w:rsidRDefault="00FD3DE6" w:rsidP="00ED0E87">
      <w:pPr>
        <w:rPr>
          <w:rFonts w:ascii="Arial" w:hAnsi="Arial" w:cs="Arial"/>
          <w:i/>
        </w:rPr>
      </w:pPr>
      <w:r>
        <w:rPr>
          <w:rFonts w:ascii="Arial" w:hAnsi="Arial" w:cs="Arial"/>
          <w:i/>
        </w:rPr>
        <w:t xml:space="preserve">This document describes </w:t>
      </w:r>
      <w:r w:rsidR="00D32830" w:rsidRPr="00C02711">
        <w:rPr>
          <w:rFonts w:ascii="Arial" w:hAnsi="Arial" w:cs="Arial"/>
          <w:i/>
        </w:rPr>
        <w:t xml:space="preserve">the </w:t>
      </w:r>
      <w:r w:rsidRPr="0050378D">
        <w:rPr>
          <w:rFonts w:ascii="Arial" w:hAnsi="Arial" w:cs="Arial"/>
          <w:i/>
        </w:rPr>
        <w:t xml:space="preserve">17 </w:t>
      </w:r>
      <w:r w:rsidR="00BD0836" w:rsidRPr="0050378D">
        <w:rPr>
          <w:rFonts w:ascii="Arial" w:hAnsi="Arial" w:cs="Arial"/>
          <w:i/>
        </w:rPr>
        <w:t>KPIs</w:t>
      </w:r>
      <w:r w:rsidR="00BD0836">
        <w:rPr>
          <w:rFonts w:ascii="Arial" w:hAnsi="Arial" w:cs="Arial"/>
          <w:i/>
        </w:rPr>
        <w:t xml:space="preserve"> </w:t>
      </w:r>
      <w:r>
        <w:rPr>
          <w:rFonts w:ascii="Arial" w:hAnsi="Arial" w:cs="Arial"/>
          <w:i/>
        </w:rPr>
        <w:t>reviewed by the Board</w:t>
      </w:r>
      <w:r w:rsidR="00BD0836">
        <w:rPr>
          <w:rFonts w:ascii="Arial" w:hAnsi="Arial" w:cs="Arial"/>
          <w:i/>
        </w:rPr>
        <w:t xml:space="preserve"> on a quarterly basis – explaining what is measured, how and why it helps provide assurance.  The KPIs are grouped under the 9 Strategic Priorities set out in the Corporate Plan 2014-17</w:t>
      </w:r>
    </w:p>
    <w:p w:rsidR="00A31A4E" w:rsidRDefault="00A31A4E" w:rsidP="00ED0E87">
      <w:pPr>
        <w:rPr>
          <w:rFonts w:ascii="Arial" w:hAnsi="Arial" w:cs="Arial"/>
          <w:b/>
          <w:sz w:val="22"/>
          <w:szCs w:val="22"/>
        </w:rPr>
      </w:pPr>
    </w:p>
    <w:tbl>
      <w:tblPr>
        <w:tblpPr w:leftFromText="180" w:rightFromText="180" w:vertAnchor="text" w:horzAnchor="margin" w:tblpXSpec="center" w:tblpY="-427"/>
        <w:tblOverlap w:val="never"/>
        <w:tblW w:w="8822" w:type="dxa"/>
        <w:tblLook w:val="04A0" w:firstRow="1" w:lastRow="0" w:firstColumn="1" w:lastColumn="0" w:noHBand="0" w:noVBand="1"/>
      </w:tblPr>
      <w:tblGrid>
        <w:gridCol w:w="8080"/>
        <w:gridCol w:w="742"/>
      </w:tblGrid>
      <w:tr w:rsidR="00ED0E87" w:rsidRPr="00470984" w:rsidTr="00364ED2">
        <w:trPr>
          <w:trHeight w:val="563"/>
        </w:trPr>
        <w:tc>
          <w:tcPr>
            <w:tcW w:w="8822" w:type="dxa"/>
            <w:gridSpan w:val="2"/>
            <w:tcBorders>
              <w:top w:val="nil"/>
              <w:left w:val="nil"/>
              <w:bottom w:val="nil"/>
              <w:right w:val="nil"/>
            </w:tcBorders>
            <w:shd w:val="clear" w:color="auto" w:fill="auto"/>
            <w:noWrap/>
            <w:vAlign w:val="center"/>
            <w:hideMark/>
          </w:tcPr>
          <w:p w:rsidR="00ED0E87" w:rsidRPr="00470984" w:rsidRDefault="00684942" w:rsidP="00364ED2">
            <w:pPr>
              <w:jc w:val="center"/>
              <w:rPr>
                <w:rFonts w:ascii="Arial" w:hAnsi="Arial" w:cs="Arial"/>
                <w:b/>
                <w:bCs/>
                <w:color w:val="000000"/>
                <w:sz w:val="22"/>
                <w:szCs w:val="22"/>
                <w:u w:val="single"/>
              </w:rPr>
            </w:pPr>
            <w:r>
              <w:rPr>
                <w:rFonts w:ascii="Arial" w:hAnsi="Arial" w:cs="Arial"/>
                <w:b/>
                <w:bCs/>
                <w:color w:val="000000"/>
                <w:sz w:val="22"/>
                <w:szCs w:val="22"/>
                <w:u w:val="single"/>
              </w:rPr>
              <w:lastRenderedPageBreak/>
              <w:t>Contents</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b/>
                <w:bCs/>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jc w:val="center"/>
              <w:rPr>
                <w:rFonts w:ascii="Arial" w:hAnsi="Arial" w:cs="Arial"/>
                <w:b/>
                <w:bCs/>
                <w:color w:val="000000"/>
                <w:sz w:val="22"/>
                <w:szCs w:val="22"/>
              </w:rPr>
            </w:pPr>
            <w:r w:rsidRPr="00470984">
              <w:rPr>
                <w:rFonts w:ascii="Arial" w:hAnsi="Arial" w:cs="Arial"/>
                <w:b/>
                <w:bCs/>
                <w:color w:val="000000"/>
                <w:sz w:val="22"/>
                <w:szCs w:val="22"/>
              </w:rPr>
              <w:t>Page</w:t>
            </w:r>
          </w:p>
        </w:tc>
      </w:tr>
      <w:tr w:rsidR="00ED0E87" w:rsidRPr="00470984" w:rsidTr="00D32830">
        <w:trPr>
          <w:trHeight w:val="288"/>
        </w:trPr>
        <w:tc>
          <w:tcPr>
            <w:tcW w:w="8080" w:type="dxa"/>
            <w:tcBorders>
              <w:top w:val="nil"/>
              <w:left w:val="nil"/>
              <w:bottom w:val="nil"/>
              <w:right w:val="nil"/>
            </w:tcBorders>
            <w:shd w:val="clear" w:color="auto" w:fill="auto"/>
            <w:noWrap/>
            <w:vAlign w:val="center"/>
          </w:tcPr>
          <w:p w:rsidR="006133C9" w:rsidRPr="00470984" w:rsidRDefault="006133C9"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tcPr>
          <w:p w:rsidR="00ED0E87" w:rsidRPr="00470984" w:rsidRDefault="00ED0E87" w:rsidP="00364ED2">
            <w:pPr>
              <w:rPr>
                <w:rFonts w:ascii="Arial" w:hAnsi="Arial" w:cs="Arial"/>
                <w:color w:val="000000"/>
                <w:sz w:val="22"/>
                <w:szCs w:val="22"/>
              </w:rPr>
            </w:pPr>
          </w:p>
        </w:tc>
      </w:tr>
      <w:tr w:rsidR="00ED0E87" w:rsidRPr="00470984" w:rsidTr="00364ED2">
        <w:trPr>
          <w:trHeight w:val="312"/>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b/>
                <w:bCs/>
                <w:i/>
                <w:iCs/>
                <w:color w:val="000000"/>
                <w:sz w:val="22"/>
                <w:szCs w:val="22"/>
              </w:rPr>
            </w:pPr>
            <w:r w:rsidRPr="00470984">
              <w:rPr>
                <w:rFonts w:ascii="Arial" w:hAnsi="Arial" w:cs="Arial"/>
                <w:b/>
                <w:bCs/>
                <w:i/>
                <w:iCs/>
                <w:color w:val="000000"/>
                <w:sz w:val="22"/>
                <w:szCs w:val="22"/>
              </w:rPr>
              <w:t xml:space="preserve">1. </w:t>
            </w:r>
            <w:r w:rsidR="00BD0836">
              <w:rPr>
                <w:rFonts w:ascii="Arial" w:hAnsi="Arial" w:cs="Arial"/>
                <w:b/>
                <w:bCs/>
                <w:i/>
                <w:iCs/>
                <w:color w:val="000000"/>
                <w:sz w:val="22"/>
                <w:szCs w:val="22"/>
              </w:rPr>
              <w:t xml:space="preserve"> Strategic Priority 1 – </w:t>
            </w:r>
            <w:r w:rsidRPr="00470984">
              <w:rPr>
                <w:rFonts w:ascii="Arial" w:hAnsi="Arial" w:cs="Arial"/>
                <w:b/>
                <w:bCs/>
                <w:i/>
                <w:iCs/>
                <w:color w:val="000000"/>
                <w:sz w:val="22"/>
                <w:szCs w:val="22"/>
              </w:rPr>
              <w:t xml:space="preserve">Well Supported Judiciary </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1(a) Judicial satisfaction</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jc w:val="center"/>
              <w:rPr>
                <w:rFonts w:ascii="Arial" w:hAnsi="Arial" w:cs="Arial"/>
                <w:color w:val="000000"/>
                <w:sz w:val="22"/>
                <w:szCs w:val="22"/>
              </w:rPr>
            </w:pPr>
            <w:r w:rsidRPr="00470984">
              <w:rPr>
                <w:rFonts w:ascii="Arial" w:hAnsi="Arial" w:cs="Arial"/>
                <w:color w:val="000000"/>
                <w:sz w:val="22"/>
                <w:szCs w:val="22"/>
              </w:rPr>
              <w:t>3</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312"/>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b/>
                <w:bCs/>
                <w:i/>
                <w:iCs/>
                <w:color w:val="000000"/>
                <w:sz w:val="22"/>
                <w:szCs w:val="22"/>
              </w:rPr>
            </w:pPr>
            <w:r w:rsidRPr="00470984">
              <w:rPr>
                <w:rFonts w:ascii="Arial" w:hAnsi="Arial" w:cs="Arial"/>
                <w:b/>
                <w:bCs/>
                <w:i/>
                <w:iCs/>
                <w:color w:val="000000"/>
                <w:sz w:val="22"/>
                <w:szCs w:val="22"/>
              </w:rPr>
              <w:t xml:space="preserve">2. </w:t>
            </w:r>
            <w:r w:rsidR="00BD0836">
              <w:rPr>
                <w:rFonts w:ascii="Arial" w:hAnsi="Arial" w:cs="Arial"/>
                <w:b/>
                <w:bCs/>
                <w:i/>
                <w:iCs/>
                <w:color w:val="000000"/>
                <w:sz w:val="22"/>
                <w:szCs w:val="22"/>
              </w:rPr>
              <w:t xml:space="preserve"> Strategic Priority 2 – </w:t>
            </w:r>
            <w:r w:rsidRPr="00470984">
              <w:rPr>
                <w:rFonts w:ascii="Arial" w:hAnsi="Arial" w:cs="Arial"/>
                <w:b/>
                <w:bCs/>
                <w:i/>
                <w:iCs/>
                <w:color w:val="000000"/>
                <w:sz w:val="22"/>
                <w:szCs w:val="22"/>
              </w:rPr>
              <w:t>Satisfied Court</w:t>
            </w:r>
            <w:r w:rsidR="000D27C9">
              <w:rPr>
                <w:rFonts w:ascii="Arial" w:hAnsi="Arial" w:cs="Arial"/>
                <w:b/>
                <w:bCs/>
                <w:i/>
                <w:iCs/>
                <w:color w:val="000000"/>
                <w:sz w:val="22"/>
                <w:szCs w:val="22"/>
              </w:rPr>
              <w:t xml:space="preserve"> &amp; Tribunal</w:t>
            </w:r>
            <w:r w:rsidRPr="00470984">
              <w:rPr>
                <w:rFonts w:ascii="Arial" w:hAnsi="Arial" w:cs="Arial"/>
                <w:b/>
                <w:bCs/>
                <w:i/>
                <w:iCs/>
                <w:color w:val="000000"/>
                <w:sz w:val="22"/>
                <w:szCs w:val="22"/>
              </w:rPr>
              <w:t xml:space="preserve"> Users</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6A6D8B">
        <w:trPr>
          <w:trHeight w:val="89"/>
        </w:trPr>
        <w:tc>
          <w:tcPr>
            <w:tcW w:w="8080" w:type="dxa"/>
            <w:tcBorders>
              <w:top w:val="nil"/>
              <w:left w:val="nil"/>
              <w:bottom w:val="nil"/>
              <w:right w:val="nil"/>
            </w:tcBorders>
            <w:shd w:val="clear" w:color="auto" w:fill="auto"/>
            <w:noWrap/>
            <w:vAlign w:val="center"/>
            <w:hideMark/>
          </w:tcPr>
          <w:p w:rsidR="00ED0E87" w:rsidRPr="00470984" w:rsidRDefault="00ED0E87" w:rsidP="000D27C9">
            <w:pPr>
              <w:rPr>
                <w:rFonts w:ascii="Arial" w:hAnsi="Arial" w:cs="Arial"/>
                <w:color w:val="000000"/>
                <w:sz w:val="22"/>
                <w:szCs w:val="22"/>
              </w:rPr>
            </w:pPr>
            <w:r w:rsidRPr="00470984">
              <w:rPr>
                <w:rFonts w:ascii="Arial" w:hAnsi="Arial" w:cs="Arial"/>
                <w:color w:val="000000"/>
                <w:sz w:val="22"/>
                <w:szCs w:val="22"/>
              </w:rPr>
              <w:t xml:space="preserve">2(a) </w:t>
            </w:r>
            <w:r w:rsidR="000D27C9">
              <w:rPr>
                <w:rFonts w:ascii="Arial" w:hAnsi="Arial" w:cs="Arial"/>
                <w:color w:val="000000"/>
                <w:sz w:val="22"/>
                <w:szCs w:val="22"/>
              </w:rPr>
              <w:t xml:space="preserve">SCTS Service </w:t>
            </w:r>
            <w:r w:rsidRPr="00470984">
              <w:rPr>
                <w:rFonts w:ascii="Arial" w:hAnsi="Arial" w:cs="Arial"/>
                <w:color w:val="000000"/>
                <w:sz w:val="22"/>
                <w:szCs w:val="22"/>
              </w:rPr>
              <w:t>user satisfaction</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jc w:val="center"/>
              <w:rPr>
                <w:rFonts w:ascii="Arial" w:hAnsi="Arial" w:cs="Arial"/>
                <w:color w:val="000000"/>
                <w:sz w:val="22"/>
                <w:szCs w:val="22"/>
              </w:rPr>
            </w:pPr>
            <w:r w:rsidRPr="00470984">
              <w:rPr>
                <w:rFonts w:ascii="Arial" w:hAnsi="Arial" w:cs="Arial"/>
                <w:color w:val="000000"/>
                <w:sz w:val="22"/>
                <w:szCs w:val="22"/>
              </w:rPr>
              <w:t>4</w:t>
            </w:r>
          </w:p>
        </w:tc>
      </w:tr>
      <w:tr w:rsidR="00ED0E87" w:rsidRPr="00470984" w:rsidTr="00364ED2">
        <w:trPr>
          <w:cantSplit/>
          <w:trHeight w:val="576"/>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2(b) Disposal of summary criminal cases within 26 weeks</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jc w:val="center"/>
              <w:rPr>
                <w:rFonts w:ascii="Arial" w:hAnsi="Arial" w:cs="Arial"/>
                <w:color w:val="000000"/>
                <w:sz w:val="22"/>
                <w:szCs w:val="22"/>
              </w:rPr>
            </w:pPr>
            <w:r w:rsidRPr="00470984">
              <w:rPr>
                <w:rFonts w:ascii="Arial" w:hAnsi="Arial" w:cs="Arial"/>
                <w:color w:val="000000"/>
                <w:sz w:val="22"/>
                <w:szCs w:val="22"/>
              </w:rPr>
              <w:t>5</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6A6D8B">
        <w:trPr>
          <w:trHeight w:val="470"/>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b/>
                <w:bCs/>
                <w:i/>
                <w:iCs/>
                <w:color w:val="000000"/>
                <w:sz w:val="22"/>
                <w:szCs w:val="22"/>
              </w:rPr>
            </w:pPr>
            <w:r w:rsidRPr="00470984">
              <w:rPr>
                <w:rFonts w:ascii="Arial" w:hAnsi="Arial" w:cs="Arial"/>
                <w:b/>
                <w:bCs/>
                <w:i/>
                <w:iCs/>
                <w:color w:val="000000"/>
                <w:sz w:val="22"/>
                <w:szCs w:val="22"/>
              </w:rPr>
              <w:t xml:space="preserve">3. </w:t>
            </w:r>
            <w:r w:rsidR="00BD0836">
              <w:rPr>
                <w:rFonts w:ascii="Arial" w:hAnsi="Arial" w:cs="Arial"/>
                <w:b/>
                <w:bCs/>
                <w:i/>
                <w:iCs/>
                <w:color w:val="000000"/>
                <w:sz w:val="22"/>
                <w:szCs w:val="22"/>
              </w:rPr>
              <w:t xml:space="preserve"> Strategic Priority 3 – </w:t>
            </w:r>
            <w:r w:rsidRPr="00470984">
              <w:rPr>
                <w:rFonts w:ascii="Arial" w:hAnsi="Arial" w:cs="Arial"/>
                <w:b/>
                <w:bCs/>
                <w:i/>
                <w:iCs/>
                <w:color w:val="000000"/>
                <w:sz w:val="22"/>
                <w:szCs w:val="22"/>
              </w:rPr>
              <w:t>Skilled, Engaged and Motivated People</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6A6D8B">
        <w:trPr>
          <w:trHeight w:val="139"/>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3(a) Employee Engagement</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jc w:val="center"/>
              <w:rPr>
                <w:rFonts w:ascii="Arial" w:hAnsi="Arial" w:cs="Arial"/>
                <w:color w:val="000000"/>
                <w:sz w:val="22"/>
                <w:szCs w:val="22"/>
              </w:rPr>
            </w:pPr>
            <w:r w:rsidRPr="00470984">
              <w:rPr>
                <w:rFonts w:ascii="Arial" w:hAnsi="Arial" w:cs="Arial"/>
                <w:color w:val="000000"/>
                <w:sz w:val="22"/>
                <w:szCs w:val="22"/>
              </w:rPr>
              <w:t>6</w:t>
            </w:r>
          </w:p>
        </w:tc>
      </w:tr>
      <w:tr w:rsidR="00ED0E87" w:rsidRPr="00470984" w:rsidTr="00364ED2">
        <w:trPr>
          <w:trHeight w:val="552"/>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3(b) Delivery of developmental activities</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jc w:val="center"/>
              <w:rPr>
                <w:rFonts w:ascii="Arial" w:hAnsi="Arial" w:cs="Arial"/>
                <w:color w:val="000000"/>
                <w:sz w:val="22"/>
                <w:szCs w:val="22"/>
              </w:rPr>
            </w:pPr>
            <w:r w:rsidRPr="00470984">
              <w:rPr>
                <w:rFonts w:ascii="Arial" w:hAnsi="Arial" w:cs="Arial"/>
                <w:color w:val="000000"/>
                <w:sz w:val="22"/>
                <w:szCs w:val="22"/>
              </w:rPr>
              <w:t>8</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312"/>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b/>
                <w:bCs/>
                <w:i/>
                <w:iCs/>
                <w:color w:val="000000"/>
                <w:sz w:val="22"/>
                <w:szCs w:val="22"/>
              </w:rPr>
            </w:pPr>
            <w:r w:rsidRPr="00470984">
              <w:rPr>
                <w:rFonts w:ascii="Arial" w:hAnsi="Arial" w:cs="Arial"/>
                <w:b/>
                <w:bCs/>
                <w:i/>
                <w:iCs/>
                <w:color w:val="000000"/>
                <w:sz w:val="22"/>
                <w:szCs w:val="22"/>
              </w:rPr>
              <w:t xml:space="preserve">4. </w:t>
            </w:r>
            <w:r w:rsidR="00BD0836">
              <w:rPr>
                <w:rFonts w:ascii="Arial" w:hAnsi="Arial" w:cs="Arial"/>
                <w:b/>
                <w:bCs/>
                <w:i/>
                <w:iCs/>
                <w:color w:val="000000"/>
                <w:sz w:val="22"/>
                <w:szCs w:val="22"/>
              </w:rPr>
              <w:t xml:space="preserve">  Strategic Priority 4 – </w:t>
            </w:r>
            <w:r w:rsidRPr="00470984">
              <w:rPr>
                <w:rFonts w:ascii="Arial" w:hAnsi="Arial" w:cs="Arial"/>
                <w:b/>
                <w:bCs/>
                <w:i/>
                <w:iCs/>
                <w:color w:val="000000"/>
                <w:sz w:val="22"/>
                <w:szCs w:val="22"/>
              </w:rPr>
              <w:t>A Well-managed Estate</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4(a) Maintaining the estate</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jc w:val="center"/>
              <w:rPr>
                <w:rFonts w:ascii="Arial" w:hAnsi="Arial" w:cs="Arial"/>
                <w:color w:val="000000"/>
                <w:sz w:val="22"/>
                <w:szCs w:val="22"/>
              </w:rPr>
            </w:pPr>
            <w:r w:rsidRPr="00470984">
              <w:rPr>
                <w:rFonts w:ascii="Arial" w:hAnsi="Arial" w:cs="Arial"/>
                <w:color w:val="000000"/>
                <w:sz w:val="22"/>
                <w:szCs w:val="22"/>
              </w:rPr>
              <w:t>9</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6A6D8B">
        <w:trPr>
          <w:trHeight w:val="381"/>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b/>
                <w:bCs/>
                <w:i/>
                <w:iCs/>
                <w:color w:val="000000"/>
                <w:sz w:val="22"/>
                <w:szCs w:val="22"/>
              </w:rPr>
            </w:pPr>
            <w:r w:rsidRPr="00470984">
              <w:rPr>
                <w:rFonts w:ascii="Arial" w:hAnsi="Arial" w:cs="Arial"/>
                <w:b/>
                <w:bCs/>
                <w:i/>
                <w:iCs/>
                <w:color w:val="000000"/>
                <w:sz w:val="22"/>
                <w:szCs w:val="22"/>
              </w:rPr>
              <w:t xml:space="preserve">5. </w:t>
            </w:r>
            <w:r w:rsidR="00BD0836">
              <w:rPr>
                <w:rFonts w:ascii="Arial" w:hAnsi="Arial" w:cs="Arial"/>
                <w:b/>
                <w:bCs/>
                <w:i/>
                <w:iCs/>
                <w:color w:val="000000"/>
                <w:sz w:val="22"/>
                <w:szCs w:val="22"/>
              </w:rPr>
              <w:t xml:space="preserve">  Strategic Priority 5 – </w:t>
            </w:r>
            <w:r w:rsidRPr="00470984">
              <w:rPr>
                <w:rFonts w:ascii="Arial" w:hAnsi="Arial" w:cs="Arial"/>
                <w:b/>
                <w:bCs/>
                <w:i/>
                <w:iCs/>
                <w:color w:val="000000"/>
                <w:sz w:val="22"/>
                <w:szCs w:val="22"/>
              </w:rPr>
              <w:t>Efficient Business Processes</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6A6D8B">
        <w:trPr>
          <w:trHeight w:val="215"/>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5(a) Sheriff Summary criminal waiting periods</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F21B61">
            <w:pPr>
              <w:jc w:val="center"/>
              <w:rPr>
                <w:rFonts w:ascii="Arial" w:hAnsi="Arial" w:cs="Arial"/>
                <w:color w:val="000000"/>
                <w:sz w:val="22"/>
                <w:szCs w:val="22"/>
              </w:rPr>
            </w:pPr>
            <w:r w:rsidRPr="00470984">
              <w:rPr>
                <w:rFonts w:ascii="Arial" w:hAnsi="Arial" w:cs="Arial"/>
                <w:color w:val="000000"/>
                <w:sz w:val="22"/>
                <w:szCs w:val="22"/>
              </w:rPr>
              <w:t>1</w:t>
            </w:r>
            <w:r w:rsidR="00F21B61">
              <w:rPr>
                <w:rFonts w:ascii="Arial" w:hAnsi="Arial" w:cs="Arial"/>
                <w:color w:val="000000"/>
                <w:sz w:val="22"/>
                <w:szCs w:val="22"/>
              </w:rPr>
              <w:t>1</w:t>
            </w:r>
          </w:p>
        </w:tc>
      </w:tr>
      <w:tr w:rsidR="00ED0E87" w:rsidRPr="00470984" w:rsidTr="00364ED2">
        <w:trPr>
          <w:trHeight w:val="478"/>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5(b) JP Summary criminal waiting periods</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9228B9">
            <w:pPr>
              <w:jc w:val="center"/>
              <w:rPr>
                <w:rFonts w:ascii="Arial" w:hAnsi="Arial" w:cs="Arial"/>
                <w:color w:val="000000"/>
                <w:sz w:val="22"/>
                <w:szCs w:val="22"/>
              </w:rPr>
            </w:pPr>
            <w:r w:rsidRPr="00470984">
              <w:rPr>
                <w:rFonts w:ascii="Arial" w:hAnsi="Arial" w:cs="Arial"/>
                <w:color w:val="000000"/>
                <w:sz w:val="22"/>
                <w:szCs w:val="22"/>
              </w:rPr>
              <w:t>1</w:t>
            </w:r>
            <w:r w:rsidR="00F21B61">
              <w:rPr>
                <w:rFonts w:ascii="Arial" w:hAnsi="Arial" w:cs="Arial"/>
                <w:color w:val="000000"/>
                <w:sz w:val="22"/>
                <w:szCs w:val="22"/>
              </w:rPr>
              <w:t>2</w:t>
            </w:r>
          </w:p>
        </w:tc>
      </w:tr>
      <w:tr w:rsidR="00ED0E87" w:rsidRPr="00470984" w:rsidTr="006A6D8B">
        <w:trPr>
          <w:trHeight w:val="478"/>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5(c) Ineffective use of court time</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F21B61">
            <w:pPr>
              <w:jc w:val="center"/>
              <w:rPr>
                <w:rFonts w:ascii="Arial" w:hAnsi="Arial" w:cs="Arial"/>
                <w:color w:val="000000"/>
                <w:sz w:val="22"/>
                <w:szCs w:val="22"/>
              </w:rPr>
            </w:pPr>
            <w:r w:rsidRPr="00470984">
              <w:rPr>
                <w:rFonts w:ascii="Arial" w:hAnsi="Arial" w:cs="Arial"/>
                <w:color w:val="000000"/>
                <w:sz w:val="22"/>
                <w:szCs w:val="22"/>
              </w:rPr>
              <w:t>1</w:t>
            </w:r>
            <w:r w:rsidR="00F21B61">
              <w:rPr>
                <w:rFonts w:ascii="Arial" w:hAnsi="Arial" w:cs="Arial"/>
                <w:color w:val="000000"/>
                <w:sz w:val="22"/>
                <w:szCs w:val="22"/>
              </w:rPr>
              <w:t>3</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C2774D">
            <w:pPr>
              <w:rPr>
                <w:rFonts w:ascii="Arial" w:hAnsi="Arial" w:cs="Arial"/>
                <w:color w:val="000000"/>
                <w:sz w:val="22"/>
                <w:szCs w:val="22"/>
              </w:rPr>
            </w:pPr>
            <w:r w:rsidRPr="00470984">
              <w:rPr>
                <w:rFonts w:ascii="Arial" w:hAnsi="Arial" w:cs="Arial"/>
                <w:color w:val="000000"/>
                <w:sz w:val="22"/>
                <w:szCs w:val="22"/>
              </w:rPr>
              <w:t xml:space="preserve">5(d) </w:t>
            </w:r>
            <w:r w:rsidR="00C2774D">
              <w:rPr>
                <w:rFonts w:ascii="Arial" w:hAnsi="Arial" w:cs="Arial"/>
                <w:color w:val="000000"/>
                <w:sz w:val="22"/>
                <w:szCs w:val="22"/>
              </w:rPr>
              <w:t>Court</w:t>
            </w:r>
            <w:r w:rsidR="00F66E82" w:rsidRPr="00470984">
              <w:rPr>
                <w:rFonts w:ascii="Arial" w:hAnsi="Arial" w:cs="Arial"/>
                <w:color w:val="000000"/>
                <w:sz w:val="22"/>
                <w:szCs w:val="22"/>
              </w:rPr>
              <w:t xml:space="preserve"> business waiting times (non-summary)</w:t>
            </w:r>
            <w:r>
              <w:rPr>
                <w:rFonts w:ascii="Arial" w:hAnsi="Arial" w:cs="Arial"/>
                <w:color w:val="000000"/>
                <w:sz w:val="22"/>
                <w:szCs w:val="22"/>
              </w:rPr>
              <w:t>……………………</w:t>
            </w:r>
            <w:r w:rsidR="00F66E82">
              <w:rPr>
                <w:rFonts w:ascii="Arial" w:hAnsi="Arial" w:cs="Arial"/>
                <w:color w:val="000000"/>
                <w:sz w:val="22"/>
                <w:szCs w:val="22"/>
              </w:rPr>
              <w:t>……...</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F21B61">
            <w:pPr>
              <w:jc w:val="center"/>
              <w:rPr>
                <w:rFonts w:ascii="Arial" w:hAnsi="Arial" w:cs="Arial"/>
                <w:color w:val="000000"/>
                <w:sz w:val="22"/>
                <w:szCs w:val="22"/>
              </w:rPr>
            </w:pPr>
            <w:r w:rsidRPr="00470984">
              <w:rPr>
                <w:rFonts w:ascii="Arial" w:hAnsi="Arial" w:cs="Arial"/>
                <w:color w:val="000000"/>
                <w:sz w:val="22"/>
                <w:szCs w:val="22"/>
              </w:rPr>
              <w:t>1</w:t>
            </w:r>
            <w:r w:rsidR="00F21B61">
              <w:rPr>
                <w:rFonts w:ascii="Arial" w:hAnsi="Arial" w:cs="Arial"/>
                <w:color w:val="000000"/>
                <w:sz w:val="22"/>
                <w:szCs w:val="22"/>
              </w:rPr>
              <w:t>4</w:t>
            </w:r>
          </w:p>
        </w:tc>
      </w:tr>
      <w:tr w:rsidR="00ED0E87" w:rsidRPr="00470984" w:rsidTr="00364ED2">
        <w:trPr>
          <w:trHeight w:val="576"/>
        </w:trPr>
        <w:tc>
          <w:tcPr>
            <w:tcW w:w="8080" w:type="dxa"/>
            <w:tcBorders>
              <w:top w:val="nil"/>
              <w:left w:val="nil"/>
              <w:bottom w:val="nil"/>
              <w:right w:val="nil"/>
            </w:tcBorders>
            <w:shd w:val="clear" w:color="auto" w:fill="auto"/>
            <w:vAlign w:val="center"/>
            <w:hideMark/>
          </w:tcPr>
          <w:p w:rsidR="00ED0E87" w:rsidRPr="00470984" w:rsidRDefault="00F66E82" w:rsidP="00F66E82">
            <w:pPr>
              <w:rPr>
                <w:rFonts w:ascii="Arial" w:hAnsi="Arial" w:cs="Arial"/>
                <w:color w:val="000000"/>
                <w:sz w:val="22"/>
                <w:szCs w:val="22"/>
              </w:rPr>
            </w:pPr>
            <w:r>
              <w:rPr>
                <w:rFonts w:ascii="Arial" w:hAnsi="Arial" w:cs="Arial"/>
                <w:color w:val="000000"/>
                <w:sz w:val="22"/>
                <w:szCs w:val="22"/>
              </w:rPr>
              <w:t>5(e) Effective tribunal operations</w:t>
            </w:r>
            <w:r w:rsidR="00ED0E87">
              <w:rPr>
                <w:rFonts w:ascii="Arial" w:hAnsi="Arial" w:cs="Arial"/>
                <w:color w:val="000000"/>
                <w:sz w:val="22"/>
                <w:szCs w:val="22"/>
              </w:rPr>
              <w:t>………………………</w:t>
            </w:r>
            <w:r>
              <w:rPr>
                <w:rFonts w:ascii="Arial" w:hAnsi="Arial" w:cs="Arial"/>
                <w:color w:val="000000"/>
                <w:sz w:val="22"/>
                <w:szCs w:val="22"/>
              </w:rPr>
              <w:t>…………………….</w:t>
            </w:r>
            <w:r w:rsidR="00ED0E87">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9228B9">
            <w:pPr>
              <w:jc w:val="center"/>
              <w:rPr>
                <w:rFonts w:ascii="Arial" w:hAnsi="Arial" w:cs="Arial"/>
                <w:color w:val="000000"/>
                <w:sz w:val="22"/>
                <w:szCs w:val="22"/>
              </w:rPr>
            </w:pPr>
            <w:r w:rsidRPr="00470984">
              <w:rPr>
                <w:rFonts w:ascii="Arial" w:hAnsi="Arial" w:cs="Arial"/>
                <w:color w:val="000000"/>
                <w:sz w:val="22"/>
                <w:szCs w:val="22"/>
              </w:rPr>
              <w:t>1</w:t>
            </w:r>
            <w:r w:rsidR="00ED2BC8">
              <w:rPr>
                <w:rFonts w:ascii="Arial" w:hAnsi="Arial" w:cs="Arial"/>
                <w:color w:val="000000"/>
                <w:sz w:val="22"/>
                <w:szCs w:val="22"/>
              </w:rPr>
              <w:t>7</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6A6D8B">
        <w:trPr>
          <w:trHeight w:val="137"/>
        </w:trPr>
        <w:tc>
          <w:tcPr>
            <w:tcW w:w="8080" w:type="dxa"/>
            <w:tcBorders>
              <w:top w:val="nil"/>
              <w:left w:val="nil"/>
              <w:bottom w:val="nil"/>
              <w:right w:val="nil"/>
            </w:tcBorders>
            <w:shd w:val="clear" w:color="auto" w:fill="auto"/>
            <w:noWrap/>
            <w:vAlign w:val="center"/>
            <w:hideMark/>
          </w:tcPr>
          <w:p w:rsidR="00ED0E87" w:rsidRPr="00470984" w:rsidRDefault="00ED0E87" w:rsidP="0085177D">
            <w:pPr>
              <w:rPr>
                <w:rFonts w:ascii="Arial" w:hAnsi="Arial" w:cs="Arial"/>
                <w:b/>
                <w:bCs/>
                <w:i/>
                <w:iCs/>
                <w:color w:val="000000"/>
                <w:sz w:val="22"/>
                <w:szCs w:val="22"/>
              </w:rPr>
            </w:pPr>
            <w:r w:rsidRPr="00470984">
              <w:rPr>
                <w:rFonts w:ascii="Arial" w:hAnsi="Arial" w:cs="Arial"/>
                <w:b/>
                <w:bCs/>
                <w:i/>
                <w:iCs/>
                <w:color w:val="000000"/>
                <w:sz w:val="22"/>
                <w:szCs w:val="22"/>
              </w:rPr>
              <w:t xml:space="preserve">6. </w:t>
            </w:r>
            <w:r w:rsidR="00BD0836">
              <w:rPr>
                <w:rFonts w:ascii="Arial" w:hAnsi="Arial" w:cs="Arial"/>
                <w:b/>
                <w:bCs/>
                <w:i/>
                <w:iCs/>
                <w:color w:val="000000"/>
                <w:sz w:val="22"/>
                <w:szCs w:val="22"/>
              </w:rPr>
              <w:t xml:space="preserve">  Strategic Priority 6 </w:t>
            </w:r>
            <w:r w:rsidR="00656499">
              <w:rPr>
                <w:rFonts w:ascii="Arial" w:hAnsi="Arial" w:cs="Arial"/>
                <w:b/>
                <w:bCs/>
                <w:i/>
                <w:iCs/>
                <w:color w:val="000000"/>
                <w:sz w:val="22"/>
                <w:szCs w:val="22"/>
              </w:rPr>
              <w:t>–</w:t>
            </w:r>
            <w:r w:rsidR="00BD0836">
              <w:rPr>
                <w:rFonts w:ascii="Arial" w:hAnsi="Arial" w:cs="Arial"/>
                <w:b/>
                <w:bCs/>
                <w:i/>
                <w:iCs/>
                <w:color w:val="000000"/>
                <w:sz w:val="22"/>
                <w:szCs w:val="22"/>
              </w:rPr>
              <w:t xml:space="preserve"> </w:t>
            </w:r>
            <w:r w:rsidRPr="00470984">
              <w:rPr>
                <w:rFonts w:ascii="Arial" w:hAnsi="Arial" w:cs="Arial"/>
                <w:b/>
                <w:bCs/>
                <w:i/>
                <w:iCs/>
                <w:color w:val="000000"/>
                <w:sz w:val="22"/>
                <w:szCs w:val="22"/>
              </w:rPr>
              <w:t xml:space="preserve">Digital </w:t>
            </w:r>
            <w:r w:rsidR="00656499">
              <w:rPr>
                <w:rFonts w:ascii="Arial" w:hAnsi="Arial" w:cs="Arial"/>
                <w:b/>
                <w:bCs/>
                <w:i/>
                <w:iCs/>
                <w:color w:val="000000"/>
                <w:sz w:val="22"/>
                <w:szCs w:val="22"/>
              </w:rPr>
              <w:t>I</w:t>
            </w:r>
            <w:r w:rsidRPr="00470984">
              <w:rPr>
                <w:rFonts w:ascii="Arial" w:hAnsi="Arial" w:cs="Arial"/>
                <w:b/>
                <w:bCs/>
                <w:i/>
                <w:iCs/>
                <w:color w:val="000000"/>
                <w:sz w:val="22"/>
                <w:szCs w:val="22"/>
              </w:rPr>
              <w:t>nnovation</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576"/>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6(a) Transactions that are carried out on line</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9228B9">
            <w:pPr>
              <w:jc w:val="center"/>
              <w:rPr>
                <w:rFonts w:ascii="Arial" w:hAnsi="Arial" w:cs="Arial"/>
                <w:color w:val="000000"/>
                <w:sz w:val="22"/>
                <w:szCs w:val="22"/>
              </w:rPr>
            </w:pPr>
            <w:r w:rsidRPr="00470984">
              <w:rPr>
                <w:rFonts w:ascii="Arial" w:hAnsi="Arial" w:cs="Arial"/>
                <w:color w:val="000000"/>
                <w:sz w:val="22"/>
                <w:szCs w:val="22"/>
              </w:rPr>
              <w:t>1</w:t>
            </w:r>
            <w:r w:rsidR="00ED2BC8">
              <w:rPr>
                <w:rFonts w:ascii="Arial" w:hAnsi="Arial" w:cs="Arial"/>
                <w:color w:val="000000"/>
                <w:sz w:val="22"/>
                <w:szCs w:val="22"/>
              </w:rPr>
              <w:t>9</w:t>
            </w:r>
          </w:p>
        </w:tc>
      </w:tr>
      <w:tr w:rsidR="00ED0E87" w:rsidRPr="00470984" w:rsidTr="00364ED2">
        <w:trPr>
          <w:trHeight w:val="288"/>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6(b) Availability of core IT systems</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2BC8" w:rsidP="009228B9">
            <w:pPr>
              <w:jc w:val="center"/>
              <w:rPr>
                <w:rFonts w:ascii="Arial" w:hAnsi="Arial" w:cs="Arial"/>
                <w:color w:val="000000"/>
                <w:sz w:val="22"/>
                <w:szCs w:val="22"/>
              </w:rPr>
            </w:pPr>
            <w:r>
              <w:rPr>
                <w:rFonts w:ascii="Arial" w:hAnsi="Arial" w:cs="Arial"/>
                <w:color w:val="000000"/>
                <w:sz w:val="22"/>
                <w:szCs w:val="22"/>
              </w:rPr>
              <w:t>20</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6A6D8B">
        <w:trPr>
          <w:trHeight w:val="89"/>
        </w:trPr>
        <w:tc>
          <w:tcPr>
            <w:tcW w:w="8080" w:type="dxa"/>
            <w:tcBorders>
              <w:top w:val="nil"/>
              <w:left w:val="nil"/>
              <w:bottom w:val="nil"/>
              <w:right w:val="nil"/>
            </w:tcBorders>
            <w:shd w:val="clear" w:color="auto" w:fill="auto"/>
            <w:vAlign w:val="center"/>
            <w:hideMark/>
          </w:tcPr>
          <w:p w:rsidR="00ED0E87" w:rsidRPr="00470984" w:rsidRDefault="00ED0E87" w:rsidP="009113CF">
            <w:pPr>
              <w:rPr>
                <w:rFonts w:ascii="Arial" w:hAnsi="Arial" w:cs="Arial"/>
                <w:b/>
                <w:bCs/>
                <w:i/>
                <w:iCs/>
                <w:color w:val="000000"/>
                <w:sz w:val="22"/>
                <w:szCs w:val="22"/>
              </w:rPr>
            </w:pPr>
            <w:r w:rsidRPr="00470984">
              <w:rPr>
                <w:rFonts w:ascii="Arial" w:hAnsi="Arial" w:cs="Arial"/>
                <w:b/>
                <w:bCs/>
                <w:i/>
                <w:iCs/>
                <w:color w:val="000000"/>
                <w:sz w:val="22"/>
                <w:szCs w:val="22"/>
              </w:rPr>
              <w:t xml:space="preserve">7. </w:t>
            </w:r>
            <w:r w:rsidR="00656499">
              <w:rPr>
                <w:rFonts w:ascii="Arial" w:hAnsi="Arial" w:cs="Arial"/>
                <w:b/>
                <w:bCs/>
                <w:i/>
                <w:iCs/>
                <w:color w:val="000000"/>
                <w:sz w:val="22"/>
                <w:szCs w:val="22"/>
              </w:rPr>
              <w:t xml:space="preserve"> Strategic Priority 7 – </w:t>
            </w:r>
            <w:r w:rsidRPr="00470984">
              <w:rPr>
                <w:rFonts w:ascii="Arial" w:hAnsi="Arial" w:cs="Arial"/>
                <w:b/>
                <w:bCs/>
                <w:i/>
                <w:iCs/>
                <w:color w:val="000000"/>
                <w:sz w:val="22"/>
                <w:szCs w:val="22"/>
              </w:rPr>
              <w:t xml:space="preserve">Purposeful Collaboration with </w:t>
            </w:r>
            <w:r w:rsidR="009113CF">
              <w:rPr>
                <w:rFonts w:ascii="Arial" w:hAnsi="Arial" w:cs="Arial"/>
                <w:b/>
                <w:bCs/>
                <w:i/>
                <w:iCs/>
                <w:color w:val="000000"/>
                <w:sz w:val="22"/>
                <w:szCs w:val="22"/>
              </w:rPr>
              <w:t>Partners</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576"/>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7(a) Sufficient and effective collaboration over period</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F21B61" w:rsidP="00ED2BC8">
            <w:pPr>
              <w:jc w:val="center"/>
              <w:rPr>
                <w:rFonts w:ascii="Arial" w:hAnsi="Arial" w:cs="Arial"/>
                <w:color w:val="000000"/>
                <w:sz w:val="22"/>
                <w:szCs w:val="22"/>
              </w:rPr>
            </w:pPr>
            <w:r>
              <w:rPr>
                <w:rFonts w:ascii="Arial" w:hAnsi="Arial" w:cs="Arial"/>
                <w:color w:val="000000"/>
                <w:sz w:val="22"/>
                <w:szCs w:val="22"/>
              </w:rPr>
              <w:t>2</w:t>
            </w:r>
            <w:r w:rsidR="00ED2BC8">
              <w:rPr>
                <w:rFonts w:ascii="Arial" w:hAnsi="Arial" w:cs="Arial"/>
                <w:color w:val="000000"/>
                <w:sz w:val="22"/>
                <w:szCs w:val="22"/>
              </w:rPr>
              <w:t>1</w:t>
            </w:r>
          </w:p>
        </w:tc>
      </w:tr>
      <w:tr w:rsidR="00ED0E87" w:rsidRPr="00470984" w:rsidTr="00364ED2">
        <w:trPr>
          <w:trHeight w:val="288"/>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288"/>
        </w:trPr>
        <w:tc>
          <w:tcPr>
            <w:tcW w:w="8080" w:type="dxa"/>
            <w:tcBorders>
              <w:top w:val="nil"/>
              <w:left w:val="nil"/>
              <w:bottom w:val="nil"/>
              <w:right w:val="nil"/>
            </w:tcBorders>
            <w:shd w:val="clear" w:color="auto" w:fill="auto"/>
            <w:vAlign w:val="center"/>
            <w:hideMark/>
          </w:tcPr>
          <w:p w:rsidR="00ED0E87" w:rsidRPr="00470984" w:rsidRDefault="00ED0E87" w:rsidP="0085177D">
            <w:pPr>
              <w:rPr>
                <w:rFonts w:ascii="Arial" w:hAnsi="Arial" w:cs="Arial"/>
                <w:b/>
                <w:bCs/>
                <w:i/>
                <w:iCs/>
                <w:color w:val="000000"/>
                <w:sz w:val="22"/>
                <w:szCs w:val="22"/>
              </w:rPr>
            </w:pPr>
            <w:r>
              <w:rPr>
                <w:rFonts w:ascii="Arial" w:hAnsi="Arial" w:cs="Arial"/>
                <w:b/>
                <w:bCs/>
                <w:i/>
                <w:iCs/>
                <w:color w:val="000000"/>
                <w:sz w:val="22"/>
                <w:szCs w:val="22"/>
              </w:rPr>
              <w:t xml:space="preserve">8. </w:t>
            </w:r>
            <w:r w:rsidR="00656499">
              <w:rPr>
                <w:rFonts w:ascii="Arial" w:hAnsi="Arial" w:cs="Arial"/>
                <w:b/>
                <w:bCs/>
                <w:i/>
                <w:iCs/>
                <w:color w:val="000000"/>
                <w:sz w:val="22"/>
                <w:szCs w:val="22"/>
              </w:rPr>
              <w:t xml:space="preserve"> Strategic Priority 8 – </w:t>
            </w:r>
            <w:r w:rsidRPr="00470984">
              <w:rPr>
                <w:rFonts w:ascii="Arial" w:hAnsi="Arial" w:cs="Arial"/>
                <w:b/>
                <w:bCs/>
                <w:i/>
                <w:iCs/>
                <w:color w:val="000000"/>
                <w:sz w:val="22"/>
                <w:szCs w:val="22"/>
              </w:rPr>
              <w:t>Funding</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6A6D8B">
        <w:trPr>
          <w:trHeight w:val="443"/>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8(a) Expenditure profile</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ED2BC8">
            <w:pPr>
              <w:jc w:val="center"/>
              <w:rPr>
                <w:rFonts w:ascii="Arial" w:hAnsi="Arial" w:cs="Arial"/>
                <w:color w:val="000000"/>
                <w:sz w:val="22"/>
                <w:szCs w:val="22"/>
              </w:rPr>
            </w:pPr>
            <w:r w:rsidRPr="00470984">
              <w:rPr>
                <w:rFonts w:ascii="Arial" w:hAnsi="Arial" w:cs="Arial"/>
                <w:color w:val="000000"/>
                <w:sz w:val="22"/>
                <w:szCs w:val="22"/>
              </w:rPr>
              <w:t>2</w:t>
            </w:r>
            <w:r w:rsidR="00ED2BC8">
              <w:rPr>
                <w:rFonts w:ascii="Arial" w:hAnsi="Arial" w:cs="Arial"/>
                <w:color w:val="000000"/>
                <w:sz w:val="22"/>
                <w:szCs w:val="22"/>
              </w:rPr>
              <w:t>2</w:t>
            </w:r>
          </w:p>
        </w:tc>
      </w:tr>
      <w:tr w:rsidR="00ED0E87" w:rsidRPr="00470984" w:rsidTr="00364ED2">
        <w:trPr>
          <w:trHeight w:val="312"/>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8(b) Fines and fee income</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ED2BC8">
            <w:pPr>
              <w:jc w:val="center"/>
              <w:rPr>
                <w:rFonts w:ascii="Arial" w:hAnsi="Arial" w:cs="Arial"/>
                <w:color w:val="000000"/>
                <w:sz w:val="22"/>
                <w:szCs w:val="22"/>
              </w:rPr>
            </w:pPr>
            <w:r w:rsidRPr="00470984">
              <w:rPr>
                <w:rFonts w:ascii="Arial" w:hAnsi="Arial" w:cs="Arial"/>
                <w:color w:val="000000"/>
                <w:sz w:val="22"/>
                <w:szCs w:val="22"/>
              </w:rPr>
              <w:t>2</w:t>
            </w:r>
            <w:r w:rsidR="00ED2BC8">
              <w:rPr>
                <w:rFonts w:ascii="Arial" w:hAnsi="Arial" w:cs="Arial"/>
                <w:color w:val="000000"/>
                <w:sz w:val="22"/>
                <w:szCs w:val="22"/>
              </w:rPr>
              <w:t>3</w:t>
            </w:r>
          </w:p>
        </w:tc>
      </w:tr>
      <w:tr w:rsidR="00ED0E87" w:rsidRPr="00470984" w:rsidTr="00364ED2">
        <w:trPr>
          <w:trHeight w:val="288"/>
        </w:trPr>
        <w:tc>
          <w:tcPr>
            <w:tcW w:w="8080"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288"/>
        </w:trPr>
        <w:tc>
          <w:tcPr>
            <w:tcW w:w="8080" w:type="dxa"/>
            <w:tcBorders>
              <w:top w:val="nil"/>
              <w:left w:val="nil"/>
              <w:bottom w:val="nil"/>
              <w:right w:val="nil"/>
            </w:tcBorders>
            <w:shd w:val="clear" w:color="auto" w:fill="auto"/>
            <w:vAlign w:val="center"/>
            <w:hideMark/>
          </w:tcPr>
          <w:p w:rsidR="00ED0E87" w:rsidRPr="00470984" w:rsidRDefault="00ED0E87" w:rsidP="0085177D">
            <w:pPr>
              <w:rPr>
                <w:rFonts w:ascii="Arial" w:hAnsi="Arial" w:cs="Arial"/>
                <w:b/>
                <w:bCs/>
                <w:i/>
                <w:iCs/>
                <w:color w:val="000000"/>
                <w:sz w:val="22"/>
                <w:szCs w:val="22"/>
              </w:rPr>
            </w:pPr>
            <w:r w:rsidRPr="00470984">
              <w:rPr>
                <w:rFonts w:ascii="Arial" w:hAnsi="Arial" w:cs="Arial"/>
                <w:b/>
                <w:bCs/>
                <w:i/>
                <w:iCs/>
                <w:color w:val="000000"/>
                <w:sz w:val="22"/>
                <w:szCs w:val="22"/>
              </w:rPr>
              <w:t xml:space="preserve">9. </w:t>
            </w:r>
            <w:r w:rsidR="00656499">
              <w:rPr>
                <w:rFonts w:ascii="Arial" w:hAnsi="Arial" w:cs="Arial"/>
                <w:b/>
                <w:bCs/>
                <w:i/>
                <w:iCs/>
                <w:color w:val="000000"/>
                <w:sz w:val="22"/>
                <w:szCs w:val="22"/>
              </w:rPr>
              <w:t xml:space="preserve">  Strategic Priority 9 – </w:t>
            </w:r>
            <w:r w:rsidRPr="00470984">
              <w:rPr>
                <w:rFonts w:ascii="Arial" w:hAnsi="Arial" w:cs="Arial"/>
                <w:b/>
                <w:bCs/>
                <w:i/>
                <w:iCs/>
                <w:color w:val="000000"/>
                <w:sz w:val="22"/>
                <w:szCs w:val="22"/>
              </w:rPr>
              <w:t>Best Value</w:t>
            </w:r>
          </w:p>
        </w:tc>
        <w:tc>
          <w:tcPr>
            <w:tcW w:w="742" w:type="dxa"/>
            <w:tcBorders>
              <w:top w:val="nil"/>
              <w:left w:val="nil"/>
              <w:bottom w:val="nil"/>
              <w:right w:val="nil"/>
            </w:tcBorders>
            <w:shd w:val="clear" w:color="auto" w:fill="auto"/>
            <w:noWrap/>
            <w:vAlign w:val="center"/>
            <w:hideMark/>
          </w:tcPr>
          <w:p w:rsidR="00ED0E87" w:rsidRPr="00470984" w:rsidRDefault="00ED0E87" w:rsidP="00364ED2">
            <w:pPr>
              <w:rPr>
                <w:rFonts w:ascii="Arial" w:hAnsi="Arial" w:cs="Arial"/>
                <w:color w:val="000000"/>
                <w:sz w:val="22"/>
                <w:szCs w:val="22"/>
              </w:rPr>
            </w:pPr>
          </w:p>
        </w:tc>
      </w:tr>
      <w:tr w:rsidR="00ED0E87" w:rsidRPr="00470984" w:rsidTr="00364ED2">
        <w:trPr>
          <w:trHeight w:val="552"/>
        </w:trPr>
        <w:tc>
          <w:tcPr>
            <w:tcW w:w="8080" w:type="dxa"/>
            <w:tcBorders>
              <w:top w:val="nil"/>
              <w:left w:val="nil"/>
              <w:bottom w:val="nil"/>
              <w:right w:val="nil"/>
            </w:tcBorders>
            <w:shd w:val="clear" w:color="auto" w:fill="auto"/>
            <w:vAlign w:val="center"/>
            <w:hideMark/>
          </w:tcPr>
          <w:p w:rsidR="00ED0E87" w:rsidRPr="00470984" w:rsidRDefault="00ED0E87" w:rsidP="00364ED2">
            <w:pPr>
              <w:rPr>
                <w:rFonts w:ascii="Arial" w:hAnsi="Arial" w:cs="Arial"/>
                <w:color w:val="000000"/>
                <w:sz w:val="22"/>
                <w:szCs w:val="22"/>
              </w:rPr>
            </w:pPr>
            <w:r w:rsidRPr="00470984">
              <w:rPr>
                <w:rFonts w:ascii="Arial" w:hAnsi="Arial" w:cs="Arial"/>
                <w:color w:val="000000"/>
                <w:sz w:val="22"/>
                <w:szCs w:val="22"/>
              </w:rPr>
              <w:t>9(a) Delivering our change programme</w:t>
            </w:r>
            <w:r>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hideMark/>
          </w:tcPr>
          <w:p w:rsidR="00ED0E87" w:rsidRPr="00470984" w:rsidRDefault="00ED0E87" w:rsidP="00ED2BC8">
            <w:pPr>
              <w:jc w:val="center"/>
              <w:rPr>
                <w:rFonts w:ascii="Arial" w:hAnsi="Arial" w:cs="Arial"/>
                <w:color w:val="000000"/>
                <w:sz w:val="22"/>
                <w:szCs w:val="22"/>
              </w:rPr>
            </w:pPr>
            <w:r w:rsidRPr="00470984">
              <w:rPr>
                <w:rFonts w:ascii="Arial" w:hAnsi="Arial" w:cs="Arial"/>
                <w:color w:val="000000"/>
                <w:sz w:val="22"/>
                <w:szCs w:val="22"/>
              </w:rPr>
              <w:t>2</w:t>
            </w:r>
            <w:r w:rsidR="00ED2BC8">
              <w:rPr>
                <w:rFonts w:ascii="Arial" w:hAnsi="Arial" w:cs="Arial"/>
                <w:color w:val="000000"/>
                <w:sz w:val="22"/>
                <w:szCs w:val="22"/>
              </w:rPr>
              <w:t>4</w:t>
            </w:r>
          </w:p>
        </w:tc>
      </w:tr>
      <w:tr w:rsidR="00656499" w:rsidRPr="00470984" w:rsidTr="00E20C9F">
        <w:trPr>
          <w:trHeight w:val="559"/>
        </w:trPr>
        <w:tc>
          <w:tcPr>
            <w:tcW w:w="8080" w:type="dxa"/>
            <w:tcBorders>
              <w:top w:val="nil"/>
              <w:left w:val="nil"/>
              <w:bottom w:val="nil"/>
              <w:right w:val="nil"/>
            </w:tcBorders>
            <w:shd w:val="clear" w:color="auto" w:fill="auto"/>
            <w:vAlign w:val="center"/>
          </w:tcPr>
          <w:p w:rsidR="00656499" w:rsidRPr="00E20C9F" w:rsidRDefault="00F21B61" w:rsidP="00364ED2">
            <w:pPr>
              <w:rPr>
                <w:rFonts w:ascii="Arial" w:hAnsi="Arial" w:cs="Arial"/>
                <w:color w:val="000000"/>
                <w:sz w:val="22"/>
                <w:szCs w:val="22"/>
              </w:rPr>
            </w:pPr>
            <w:r w:rsidRPr="00E20C9F">
              <w:rPr>
                <w:rFonts w:ascii="Arial" w:hAnsi="Arial" w:cs="Arial"/>
                <w:color w:val="000000"/>
                <w:sz w:val="22"/>
                <w:szCs w:val="22"/>
              </w:rPr>
              <w:t>SC</w:t>
            </w:r>
            <w:r w:rsidR="005A619A">
              <w:rPr>
                <w:rFonts w:ascii="Arial" w:hAnsi="Arial" w:cs="Arial"/>
                <w:color w:val="000000"/>
                <w:sz w:val="22"/>
                <w:szCs w:val="22"/>
              </w:rPr>
              <w:t>T</w:t>
            </w:r>
            <w:r w:rsidRPr="00E20C9F">
              <w:rPr>
                <w:rFonts w:ascii="Arial" w:hAnsi="Arial" w:cs="Arial"/>
                <w:color w:val="000000"/>
                <w:sz w:val="22"/>
                <w:szCs w:val="22"/>
              </w:rPr>
              <w:t xml:space="preserve">S Board Scorecard </w:t>
            </w:r>
            <w:r w:rsidR="00D10B74" w:rsidRPr="00E20C9F">
              <w:rPr>
                <w:rFonts w:ascii="Arial" w:hAnsi="Arial" w:cs="Arial"/>
                <w:color w:val="000000"/>
                <w:sz w:val="22"/>
                <w:szCs w:val="22"/>
              </w:rPr>
              <w:t>–</w:t>
            </w:r>
            <w:r w:rsidRPr="00E20C9F">
              <w:rPr>
                <w:rFonts w:ascii="Arial" w:hAnsi="Arial" w:cs="Arial"/>
                <w:color w:val="000000"/>
                <w:sz w:val="22"/>
                <w:szCs w:val="22"/>
              </w:rPr>
              <w:t xml:space="preserve"> </w:t>
            </w:r>
            <w:r w:rsidR="00D10B74" w:rsidRPr="00E20C9F">
              <w:rPr>
                <w:rFonts w:ascii="Arial" w:hAnsi="Arial" w:cs="Arial"/>
                <w:color w:val="000000"/>
                <w:sz w:val="22"/>
                <w:szCs w:val="22"/>
              </w:rPr>
              <w:t xml:space="preserve">Blank </w:t>
            </w:r>
            <w:r w:rsidRPr="00E20C9F">
              <w:rPr>
                <w:rFonts w:ascii="Arial" w:hAnsi="Arial" w:cs="Arial"/>
                <w:color w:val="000000"/>
                <w:sz w:val="22"/>
                <w:szCs w:val="22"/>
              </w:rPr>
              <w:t>Example</w:t>
            </w:r>
            <w:r w:rsidR="00E20C9F" w:rsidRPr="00E20C9F">
              <w:rPr>
                <w:rFonts w:ascii="Arial" w:hAnsi="Arial" w:cs="Arial"/>
                <w:color w:val="000000"/>
                <w:sz w:val="22"/>
                <w:szCs w:val="22"/>
              </w:rPr>
              <w:t>……………………………………………</w:t>
            </w:r>
          </w:p>
        </w:tc>
        <w:tc>
          <w:tcPr>
            <w:tcW w:w="742" w:type="dxa"/>
            <w:tcBorders>
              <w:top w:val="nil"/>
              <w:left w:val="nil"/>
              <w:bottom w:val="nil"/>
              <w:right w:val="nil"/>
            </w:tcBorders>
            <w:shd w:val="clear" w:color="auto" w:fill="auto"/>
            <w:noWrap/>
            <w:vAlign w:val="center"/>
          </w:tcPr>
          <w:p w:rsidR="00656499" w:rsidRPr="00470984" w:rsidRDefault="00ED2BC8" w:rsidP="009228B9">
            <w:pPr>
              <w:jc w:val="center"/>
              <w:rPr>
                <w:rFonts w:ascii="Arial" w:hAnsi="Arial" w:cs="Arial"/>
                <w:color w:val="000000"/>
                <w:sz w:val="22"/>
                <w:szCs w:val="22"/>
              </w:rPr>
            </w:pPr>
            <w:r>
              <w:rPr>
                <w:rFonts w:ascii="Arial" w:hAnsi="Arial" w:cs="Arial"/>
                <w:color w:val="000000"/>
                <w:sz w:val="22"/>
                <w:szCs w:val="22"/>
              </w:rPr>
              <w:t>25</w:t>
            </w:r>
          </w:p>
        </w:tc>
      </w:tr>
    </w:tbl>
    <w:p w:rsidR="00A31A4E" w:rsidRDefault="00A31A4E" w:rsidP="00ED0E87">
      <w:pPr>
        <w:rPr>
          <w:rFonts w:ascii="Arial" w:hAnsi="Arial" w:cs="Arial"/>
          <w:b/>
          <w:sz w:val="22"/>
          <w:szCs w:val="22"/>
        </w:rPr>
        <w:sectPr w:rsidR="00A31A4E">
          <w:footerReference w:type="default" r:id="rId10"/>
          <w:pgSz w:w="11906" w:h="16838"/>
          <w:pgMar w:top="1440" w:right="1800" w:bottom="1440" w:left="1800" w:header="708" w:footer="708" w:gutter="0"/>
          <w:cols w:space="708"/>
          <w:docGrid w:linePitch="360"/>
        </w:sectPr>
      </w:pPr>
    </w:p>
    <w:tbl>
      <w:tblPr>
        <w:tblW w:w="5000" w:type="pct"/>
        <w:tblCellMar>
          <w:left w:w="0" w:type="dxa"/>
          <w:right w:w="0" w:type="dxa"/>
        </w:tblCellMar>
        <w:tblLook w:val="04A0" w:firstRow="1" w:lastRow="0" w:firstColumn="1" w:lastColumn="0" w:noHBand="0" w:noVBand="1"/>
      </w:tblPr>
      <w:tblGrid>
        <w:gridCol w:w="2802"/>
        <w:gridCol w:w="5720"/>
      </w:tblGrid>
      <w:tr w:rsidR="001154C0" w:rsidTr="00445A49">
        <w:trPr>
          <w:trHeight w:val="447"/>
        </w:trPr>
        <w:tc>
          <w:tcPr>
            <w:tcW w:w="164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154C0" w:rsidRDefault="001154C0">
            <w:pPr>
              <w:rPr>
                <w:rFonts w:ascii="Arial" w:eastAsiaTheme="minorHAnsi" w:hAnsi="Arial" w:cs="Arial"/>
                <w:b/>
                <w:bCs/>
                <w:sz w:val="22"/>
                <w:szCs w:val="22"/>
                <w:lang w:eastAsia="en-US"/>
              </w:rPr>
            </w:pPr>
            <w:r>
              <w:rPr>
                <w:rFonts w:ascii="Arial" w:hAnsi="Arial" w:cs="Arial"/>
                <w:b/>
                <w:bCs/>
              </w:rPr>
              <w:lastRenderedPageBreak/>
              <w:t>Strategic Priority 1</w:t>
            </w:r>
          </w:p>
        </w:tc>
        <w:tc>
          <w:tcPr>
            <w:tcW w:w="335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154C0" w:rsidRDefault="001154C0">
            <w:pPr>
              <w:rPr>
                <w:rFonts w:ascii="Arial" w:eastAsiaTheme="minorHAnsi" w:hAnsi="Arial" w:cs="Arial"/>
                <w:b/>
                <w:bCs/>
                <w:sz w:val="22"/>
                <w:szCs w:val="22"/>
                <w:lang w:eastAsia="en-US"/>
              </w:rPr>
            </w:pPr>
            <w:r>
              <w:rPr>
                <w:rFonts w:ascii="Arial" w:hAnsi="Arial" w:cs="Arial"/>
                <w:b/>
                <w:bCs/>
              </w:rPr>
              <w:t>Well Supported Judiciary</w:t>
            </w: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b/>
                <w:bCs/>
                <w:sz w:val="22"/>
                <w:szCs w:val="22"/>
                <w:lang w:eastAsia="en-US"/>
              </w:rPr>
            </w:pPr>
            <w:r>
              <w:rPr>
                <w:rFonts w:ascii="Arial" w:hAnsi="Arial" w:cs="Arial"/>
                <w:b/>
                <w:bCs/>
              </w:rPr>
              <w:t>Measure 1(a)</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b/>
                <w:bCs/>
                <w:sz w:val="22"/>
                <w:szCs w:val="22"/>
                <w:lang w:eastAsia="en-US"/>
              </w:rPr>
            </w:pPr>
            <w:r>
              <w:rPr>
                <w:rFonts w:ascii="Arial" w:hAnsi="Arial" w:cs="Arial"/>
                <w:b/>
                <w:bCs/>
              </w:rPr>
              <w:t>Judicial satisfaction</w:t>
            </w: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Description of Measure</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Style w:val="CommentReference"/>
                <w:color w:val="000000" w:themeColor="text1"/>
                <w:highlight w:val="yellow"/>
              </w:rPr>
            </w:pPr>
            <w:r>
              <w:rPr>
                <w:rFonts w:ascii="Arial" w:hAnsi="Arial" w:cs="Arial"/>
                <w:color w:val="000000" w:themeColor="text1"/>
              </w:rPr>
              <w:t>A view taken by the SC</w:t>
            </w:r>
            <w:r w:rsidR="005A619A">
              <w:rPr>
                <w:rFonts w:ascii="Arial" w:hAnsi="Arial" w:cs="Arial"/>
                <w:color w:val="000000" w:themeColor="text1"/>
              </w:rPr>
              <w:t>T</w:t>
            </w:r>
            <w:r>
              <w:rPr>
                <w:rFonts w:ascii="Arial" w:hAnsi="Arial" w:cs="Arial"/>
                <w:color w:val="000000" w:themeColor="text1"/>
              </w:rPr>
              <w:t>S Executive Team of all tiers of the judiciary to estimate the satisfaction with the services provided to them by the SC</w:t>
            </w:r>
            <w:r w:rsidR="005A619A">
              <w:rPr>
                <w:rFonts w:ascii="Arial" w:hAnsi="Arial" w:cs="Arial"/>
                <w:color w:val="000000" w:themeColor="text1"/>
              </w:rPr>
              <w:t>T</w:t>
            </w:r>
            <w:r>
              <w:rPr>
                <w:rFonts w:ascii="Arial" w:hAnsi="Arial" w:cs="Arial"/>
                <w:color w:val="000000" w:themeColor="text1"/>
              </w:rPr>
              <w:t>S. This will comprise both formal and informal feedback received by the Executive Team and SC</w:t>
            </w:r>
            <w:r w:rsidR="005A619A">
              <w:rPr>
                <w:rFonts w:ascii="Arial" w:hAnsi="Arial" w:cs="Arial"/>
                <w:color w:val="000000" w:themeColor="text1"/>
              </w:rPr>
              <w:t>T</w:t>
            </w:r>
            <w:r>
              <w:rPr>
                <w:rFonts w:ascii="Arial" w:hAnsi="Arial" w:cs="Arial"/>
                <w:color w:val="000000" w:themeColor="text1"/>
              </w:rPr>
              <w:t>S senior managers and build</w:t>
            </w:r>
            <w:r w:rsidR="00656499">
              <w:rPr>
                <w:rFonts w:ascii="Arial" w:hAnsi="Arial" w:cs="Arial"/>
                <w:color w:val="000000" w:themeColor="text1"/>
              </w:rPr>
              <w:t>s</w:t>
            </w:r>
            <w:r>
              <w:rPr>
                <w:rFonts w:ascii="Arial" w:hAnsi="Arial" w:cs="Arial"/>
                <w:color w:val="000000" w:themeColor="text1"/>
              </w:rPr>
              <w:t xml:space="preserve"> on the insight about judicial opinion formed following the 2011</w:t>
            </w:r>
            <w:r w:rsidR="005A619A">
              <w:rPr>
                <w:rFonts w:ascii="Arial" w:hAnsi="Arial" w:cs="Arial"/>
                <w:color w:val="000000" w:themeColor="text1"/>
              </w:rPr>
              <w:t xml:space="preserve"> and 2015 </w:t>
            </w:r>
            <w:r>
              <w:rPr>
                <w:rFonts w:ascii="Arial" w:hAnsi="Arial" w:cs="Arial"/>
                <w:color w:val="000000" w:themeColor="text1"/>
              </w:rPr>
              <w:t>survey</w:t>
            </w:r>
            <w:r w:rsidR="005A619A">
              <w:rPr>
                <w:rFonts w:ascii="Arial" w:hAnsi="Arial" w:cs="Arial"/>
                <w:color w:val="000000" w:themeColor="text1"/>
              </w:rPr>
              <w:t>s</w:t>
            </w:r>
            <w:r>
              <w:rPr>
                <w:rFonts w:ascii="Arial" w:hAnsi="Arial" w:cs="Arial"/>
                <w:color w:val="000000" w:themeColor="text1"/>
              </w:rPr>
              <w:t xml:space="preserve"> of judicial office holders</w:t>
            </w:r>
            <w:r w:rsidR="005A619A">
              <w:rPr>
                <w:rFonts w:ascii="Arial" w:hAnsi="Arial" w:cs="Arial"/>
                <w:color w:val="000000" w:themeColor="text1"/>
              </w:rPr>
              <w:t>.</w:t>
            </w:r>
            <w:r>
              <w:rPr>
                <w:rStyle w:val="CommentReference"/>
                <w:color w:val="000000" w:themeColor="text1"/>
                <w:highlight w:val="yellow"/>
              </w:rPr>
              <w:t xml:space="preserve"> </w:t>
            </w:r>
          </w:p>
          <w:p w:rsidR="00656499" w:rsidRDefault="00656499">
            <w:pPr>
              <w:rPr>
                <w:rFonts w:ascii="Arial" w:eastAsiaTheme="minorHAnsi" w:hAnsi="Arial" w:cs="Arial"/>
                <w:sz w:val="22"/>
                <w:szCs w:val="22"/>
                <w:highlight w:val="yellow"/>
                <w:lang w:eastAsia="en-US"/>
              </w:rPr>
            </w:pP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54C0" w:rsidRDefault="001154C0">
            <w:pPr>
              <w:rPr>
                <w:rFonts w:ascii="Arial" w:eastAsiaTheme="minorHAnsi" w:hAnsi="Arial" w:cs="Arial"/>
                <w:sz w:val="22"/>
                <w:szCs w:val="22"/>
                <w:lang w:eastAsia="en-US"/>
              </w:rPr>
            </w:pPr>
            <w:r>
              <w:rPr>
                <w:rFonts w:ascii="Arial" w:hAnsi="Arial" w:cs="Arial"/>
              </w:rPr>
              <w:t>Purpose of Measure</w:t>
            </w:r>
          </w:p>
          <w:p w:rsidR="001154C0" w:rsidRDefault="001154C0">
            <w:pPr>
              <w:rPr>
                <w:rFonts w:ascii="Arial" w:hAnsi="Arial" w:cs="Arial"/>
              </w:rPr>
            </w:pPr>
          </w:p>
          <w:p w:rsidR="001154C0" w:rsidRDefault="001154C0">
            <w:pPr>
              <w:rPr>
                <w:rFonts w:ascii="Arial" w:eastAsiaTheme="minorHAnsi" w:hAnsi="Arial" w:cs="Arial"/>
                <w:sz w:val="22"/>
                <w:szCs w:val="22"/>
                <w:lang w:eastAsia="en-US"/>
              </w:rPr>
            </w:pP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656499" w:rsidRDefault="001154C0" w:rsidP="0085177D">
            <w:pPr>
              <w:rPr>
                <w:rFonts w:ascii="Arial" w:hAnsi="Arial" w:cs="Arial"/>
              </w:rPr>
            </w:pPr>
            <w:r>
              <w:rPr>
                <w:rFonts w:ascii="Arial" w:hAnsi="Arial" w:cs="Arial"/>
              </w:rPr>
              <w:t>The SC</w:t>
            </w:r>
            <w:r w:rsidR="005A619A">
              <w:rPr>
                <w:rFonts w:ascii="Arial" w:hAnsi="Arial" w:cs="Arial"/>
              </w:rPr>
              <w:t>T</w:t>
            </w:r>
            <w:r>
              <w:rPr>
                <w:rFonts w:ascii="Arial" w:hAnsi="Arial" w:cs="Arial"/>
              </w:rPr>
              <w:t xml:space="preserve">S exists to support </w:t>
            </w:r>
            <w:r w:rsidR="005A619A">
              <w:rPr>
                <w:rFonts w:ascii="Arial" w:hAnsi="Arial" w:cs="Arial"/>
              </w:rPr>
              <w:t>justice through the effective operation of</w:t>
            </w:r>
            <w:r>
              <w:rPr>
                <w:rFonts w:ascii="Arial" w:hAnsi="Arial" w:cs="Arial"/>
              </w:rPr>
              <w:t xml:space="preserve"> courts and </w:t>
            </w:r>
            <w:r w:rsidR="005A619A">
              <w:rPr>
                <w:rFonts w:ascii="Arial" w:hAnsi="Arial" w:cs="Arial"/>
              </w:rPr>
              <w:t xml:space="preserve">tribunals.  One important, albeit subjective, indicator of effective court and tribunal administration is the level of judicial satisfaction.  </w:t>
            </w:r>
            <w:r w:rsidR="00483225">
              <w:rPr>
                <w:rFonts w:ascii="Arial" w:hAnsi="Arial" w:cs="Arial"/>
              </w:rPr>
              <w:t xml:space="preserve">The organisation can better </w:t>
            </w:r>
            <w:r>
              <w:rPr>
                <w:rFonts w:ascii="Arial" w:hAnsi="Arial" w:cs="Arial"/>
              </w:rPr>
              <w:t xml:space="preserve">support the judiciary </w:t>
            </w:r>
            <w:r w:rsidR="00483225">
              <w:rPr>
                <w:rFonts w:ascii="Arial" w:hAnsi="Arial" w:cs="Arial"/>
              </w:rPr>
              <w:t xml:space="preserve">and deliver its purpose </w:t>
            </w:r>
            <w:r w:rsidR="00656499">
              <w:rPr>
                <w:rFonts w:ascii="Arial" w:hAnsi="Arial" w:cs="Arial"/>
              </w:rPr>
              <w:t>if it uses feedback received by senior managers and through the judicial members of the SC</w:t>
            </w:r>
            <w:r w:rsidR="00483225">
              <w:rPr>
                <w:rFonts w:ascii="Arial" w:hAnsi="Arial" w:cs="Arial"/>
              </w:rPr>
              <w:t>T</w:t>
            </w:r>
            <w:r w:rsidR="00656499">
              <w:rPr>
                <w:rFonts w:ascii="Arial" w:hAnsi="Arial" w:cs="Arial"/>
              </w:rPr>
              <w:t>S Board</w:t>
            </w:r>
            <w:r>
              <w:rPr>
                <w:rFonts w:ascii="Arial" w:hAnsi="Arial" w:cs="Arial"/>
              </w:rPr>
              <w:t>.</w:t>
            </w:r>
          </w:p>
          <w:p w:rsidR="001154C0" w:rsidRDefault="001154C0" w:rsidP="0085177D">
            <w:pPr>
              <w:rPr>
                <w:rFonts w:ascii="Arial" w:eastAsiaTheme="minorHAnsi" w:hAnsi="Arial" w:cs="Arial"/>
                <w:sz w:val="22"/>
                <w:szCs w:val="22"/>
                <w:highlight w:val="yellow"/>
                <w:lang w:eastAsia="en-US"/>
              </w:rPr>
            </w:pPr>
            <w:r>
              <w:rPr>
                <w:rFonts w:ascii="Arial" w:hAnsi="Arial" w:cs="Arial"/>
                <w:color w:val="1F497D"/>
              </w:rPr>
              <w:t xml:space="preserve"> </w:t>
            </w: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Measure Owner</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rPr>
            </w:pPr>
            <w:r>
              <w:rPr>
                <w:rFonts w:ascii="Arial" w:hAnsi="Arial" w:cs="Arial"/>
              </w:rPr>
              <w:t>Chief Executive</w:t>
            </w:r>
          </w:p>
          <w:p w:rsidR="00656499" w:rsidRDefault="00656499">
            <w:pPr>
              <w:rPr>
                <w:rFonts w:ascii="Arial" w:eastAsiaTheme="minorHAnsi" w:hAnsi="Arial" w:cs="Arial"/>
                <w:sz w:val="22"/>
                <w:szCs w:val="22"/>
                <w:highlight w:val="yellow"/>
                <w:lang w:eastAsia="en-US"/>
              </w:rPr>
            </w:pP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Source of the data</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714655" w:rsidRDefault="00714655">
            <w:pPr>
              <w:rPr>
                <w:rFonts w:ascii="Arial" w:hAnsi="Arial" w:cs="Arial"/>
                <w:color w:val="000000" w:themeColor="text1"/>
              </w:rPr>
            </w:pPr>
            <w:r>
              <w:rPr>
                <w:rFonts w:ascii="Arial" w:hAnsi="Arial" w:cs="Arial"/>
                <w:color w:val="000000" w:themeColor="text1"/>
              </w:rPr>
              <w:t>Judicial Attitudes Survey (2015)</w:t>
            </w:r>
          </w:p>
          <w:p w:rsidR="001154C0" w:rsidRDefault="00714655">
            <w:pPr>
              <w:rPr>
                <w:rFonts w:ascii="Arial" w:hAnsi="Arial" w:cs="Arial"/>
                <w:color w:val="000000" w:themeColor="text1"/>
              </w:rPr>
            </w:pPr>
            <w:r>
              <w:rPr>
                <w:rFonts w:ascii="Arial" w:hAnsi="Arial" w:cs="Arial"/>
                <w:color w:val="000000" w:themeColor="text1"/>
              </w:rPr>
              <w:t xml:space="preserve">Quarterly SCTS </w:t>
            </w:r>
            <w:r w:rsidR="001154C0">
              <w:rPr>
                <w:rFonts w:ascii="Arial" w:hAnsi="Arial" w:cs="Arial"/>
                <w:color w:val="000000" w:themeColor="text1"/>
              </w:rPr>
              <w:t xml:space="preserve">Executive Team </w:t>
            </w:r>
            <w:r>
              <w:rPr>
                <w:rFonts w:ascii="Arial" w:hAnsi="Arial" w:cs="Arial"/>
                <w:color w:val="000000" w:themeColor="text1"/>
              </w:rPr>
              <w:t>assessment</w:t>
            </w:r>
          </w:p>
          <w:p w:rsidR="00656499" w:rsidRDefault="00656499">
            <w:pPr>
              <w:rPr>
                <w:rFonts w:ascii="Arial" w:eastAsiaTheme="minorHAnsi" w:hAnsi="Arial" w:cs="Arial"/>
                <w:color w:val="000000" w:themeColor="text1"/>
                <w:sz w:val="22"/>
                <w:szCs w:val="22"/>
                <w:highlight w:val="yellow"/>
                <w:lang w:eastAsia="en-US"/>
              </w:rPr>
            </w:pP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Basis of calculation</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714655">
            <w:pPr>
              <w:rPr>
                <w:rFonts w:ascii="Arial" w:hAnsi="Arial" w:cs="Arial"/>
              </w:rPr>
            </w:pPr>
            <w:r>
              <w:rPr>
                <w:rFonts w:ascii="Arial" w:hAnsi="Arial" w:cs="Arial"/>
              </w:rPr>
              <w:t xml:space="preserve">Assessment </w:t>
            </w:r>
            <w:r w:rsidR="001154C0">
              <w:rPr>
                <w:rFonts w:ascii="Arial" w:hAnsi="Arial" w:cs="Arial"/>
              </w:rPr>
              <w:t>of Judicial satisfaction with SC</w:t>
            </w:r>
            <w:r>
              <w:rPr>
                <w:rFonts w:ascii="Arial" w:hAnsi="Arial" w:cs="Arial"/>
              </w:rPr>
              <w:t>TS services, using sources above.</w:t>
            </w:r>
          </w:p>
          <w:p w:rsidR="00656499" w:rsidRDefault="00656499">
            <w:pPr>
              <w:rPr>
                <w:rFonts w:ascii="Arial" w:eastAsiaTheme="minorHAnsi" w:hAnsi="Arial" w:cs="Arial"/>
                <w:sz w:val="22"/>
                <w:szCs w:val="22"/>
                <w:lang w:eastAsia="en-US"/>
              </w:rPr>
            </w:pP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Performance thresholds for Red/Amber/Green</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rPr>
            </w:pPr>
            <w:r>
              <w:rPr>
                <w:rFonts w:ascii="Arial" w:hAnsi="Arial" w:cs="Arial"/>
              </w:rPr>
              <w:t>Thresholds based on Executive Team assumptions about satisfaction of judicial office holders</w:t>
            </w:r>
            <w:r w:rsidR="00445A49">
              <w:rPr>
                <w:rFonts w:ascii="Arial" w:hAnsi="Arial" w:cs="Arial"/>
              </w:rPr>
              <w:t>:</w:t>
            </w:r>
          </w:p>
          <w:p w:rsidR="00445A49" w:rsidRPr="00F66E82" w:rsidRDefault="00445A49">
            <w:pPr>
              <w:rPr>
                <w:rFonts w:ascii="Arial" w:eastAsiaTheme="minorHAnsi" w:hAnsi="Arial" w:cs="Arial"/>
                <w:sz w:val="20"/>
                <w:szCs w:val="20"/>
                <w:lang w:eastAsia="en-US"/>
              </w:rPr>
            </w:pPr>
          </w:p>
          <w:p w:rsidR="001154C0" w:rsidRDefault="001154C0">
            <w:pPr>
              <w:rPr>
                <w:rFonts w:ascii="Arial" w:hAnsi="Arial" w:cs="Arial"/>
              </w:rPr>
            </w:pPr>
            <w:r w:rsidRPr="00351BFC">
              <w:rPr>
                <w:rFonts w:ascii="Arial" w:hAnsi="Arial" w:cs="Arial"/>
                <w:b/>
                <w:color w:val="FF0000"/>
              </w:rPr>
              <w:t>Red</w:t>
            </w:r>
            <w:r w:rsidRPr="00351BFC">
              <w:rPr>
                <w:rFonts w:ascii="Arial" w:hAnsi="Arial" w:cs="Arial"/>
                <w:color w:val="FF0000"/>
              </w:rPr>
              <w:t xml:space="preserve"> </w:t>
            </w:r>
            <w:r w:rsidR="00645EF5">
              <w:rPr>
                <w:rFonts w:ascii="Arial" w:hAnsi="Arial" w:cs="Arial"/>
              </w:rPr>
              <w:t xml:space="preserve">– low levels of satisfaction requiring dialogue and remedial action -  </w:t>
            </w:r>
            <w:r>
              <w:rPr>
                <w:rFonts w:ascii="Arial" w:hAnsi="Arial" w:cs="Arial"/>
              </w:rPr>
              <w:t>&lt;65%</w:t>
            </w:r>
            <w:r w:rsidR="00F66E82">
              <w:rPr>
                <w:rFonts w:ascii="Arial" w:hAnsi="Arial" w:cs="Arial"/>
              </w:rPr>
              <w:t xml:space="preserve"> positive response</w:t>
            </w:r>
            <w:r w:rsidR="00645EF5">
              <w:rPr>
                <w:rFonts w:ascii="Arial" w:hAnsi="Arial" w:cs="Arial"/>
              </w:rPr>
              <w:t xml:space="preserve"> in survey data</w:t>
            </w:r>
            <w:r>
              <w:rPr>
                <w:rFonts w:ascii="Arial" w:hAnsi="Arial" w:cs="Arial"/>
                <w:color w:val="1F497D" w:themeColor="dark2"/>
              </w:rPr>
              <w:t xml:space="preserve"> </w:t>
            </w:r>
          </w:p>
          <w:p w:rsidR="001154C0" w:rsidRDefault="001154C0">
            <w:pPr>
              <w:rPr>
                <w:rFonts w:ascii="Arial" w:hAnsi="Arial" w:cs="Arial"/>
              </w:rPr>
            </w:pPr>
            <w:r w:rsidRPr="00351BFC">
              <w:rPr>
                <w:rFonts w:ascii="Arial" w:hAnsi="Arial" w:cs="Arial"/>
                <w:b/>
                <w:color w:val="FFC000"/>
              </w:rPr>
              <w:t>Amber</w:t>
            </w:r>
            <w:r w:rsidRPr="00351BFC">
              <w:rPr>
                <w:rFonts w:ascii="Arial" w:hAnsi="Arial" w:cs="Arial"/>
                <w:color w:val="FFC000"/>
              </w:rPr>
              <w:t xml:space="preserve"> </w:t>
            </w:r>
            <w:r w:rsidR="00645EF5">
              <w:rPr>
                <w:rFonts w:ascii="Arial" w:hAnsi="Arial" w:cs="Arial"/>
              </w:rPr>
              <w:t xml:space="preserve">moderate levels of satisfaction - </w:t>
            </w:r>
            <w:r>
              <w:rPr>
                <w:rFonts w:ascii="Arial" w:hAnsi="Arial" w:cs="Arial"/>
              </w:rPr>
              <w:t>65% - 78%</w:t>
            </w:r>
            <w:r w:rsidR="00F66E82">
              <w:rPr>
                <w:rFonts w:ascii="Arial" w:hAnsi="Arial" w:cs="Arial"/>
              </w:rPr>
              <w:t xml:space="preserve"> positive response</w:t>
            </w:r>
            <w:r w:rsidR="00645EF5">
              <w:rPr>
                <w:rFonts w:ascii="Arial" w:hAnsi="Arial" w:cs="Arial"/>
              </w:rPr>
              <w:t xml:space="preserve"> in survey data</w:t>
            </w:r>
          </w:p>
          <w:p w:rsidR="001154C0" w:rsidRDefault="001154C0">
            <w:pPr>
              <w:rPr>
                <w:rFonts w:ascii="Arial" w:hAnsi="Arial" w:cs="Arial"/>
              </w:rPr>
            </w:pPr>
            <w:r w:rsidRPr="00351BFC">
              <w:rPr>
                <w:rFonts w:ascii="Arial" w:hAnsi="Arial" w:cs="Arial"/>
                <w:b/>
                <w:color w:val="00B050"/>
              </w:rPr>
              <w:t>Green</w:t>
            </w:r>
            <w:r w:rsidRPr="00351BFC">
              <w:rPr>
                <w:rFonts w:ascii="Arial" w:hAnsi="Arial" w:cs="Arial"/>
                <w:color w:val="00B050"/>
              </w:rPr>
              <w:t xml:space="preserve"> </w:t>
            </w:r>
            <w:r w:rsidR="00645EF5">
              <w:rPr>
                <w:rFonts w:ascii="Arial" w:hAnsi="Arial" w:cs="Arial"/>
              </w:rPr>
              <w:t xml:space="preserve">high levels of satisfaction - </w:t>
            </w:r>
            <w:r>
              <w:rPr>
                <w:rFonts w:ascii="Arial" w:hAnsi="Arial" w:cs="Arial"/>
              </w:rPr>
              <w:t>78%</w:t>
            </w:r>
            <w:r w:rsidR="00645EF5">
              <w:rPr>
                <w:rFonts w:ascii="Arial" w:hAnsi="Arial" w:cs="Arial"/>
              </w:rPr>
              <w:t xml:space="preserve"> or above</w:t>
            </w:r>
            <w:r w:rsidR="00F66E82">
              <w:rPr>
                <w:rFonts w:ascii="Arial" w:hAnsi="Arial" w:cs="Arial"/>
              </w:rPr>
              <w:t xml:space="preserve"> positive response</w:t>
            </w:r>
            <w:r w:rsidR="00645EF5">
              <w:rPr>
                <w:rFonts w:ascii="Arial" w:hAnsi="Arial" w:cs="Arial"/>
              </w:rPr>
              <w:t xml:space="preserve"> in survey data.</w:t>
            </w:r>
          </w:p>
          <w:p w:rsidR="00445A49" w:rsidRPr="00F66E82" w:rsidRDefault="00445A49">
            <w:pPr>
              <w:rPr>
                <w:rFonts w:ascii="Arial" w:hAnsi="Arial" w:cs="Arial"/>
                <w:sz w:val="20"/>
                <w:szCs w:val="20"/>
              </w:rPr>
            </w:pPr>
          </w:p>
          <w:p w:rsidR="00445A49" w:rsidRPr="00445A49" w:rsidRDefault="00445A49">
            <w:pPr>
              <w:rPr>
                <w:rFonts w:ascii="Arial" w:hAnsi="Arial" w:cs="Arial"/>
                <w:sz w:val="22"/>
                <w:szCs w:val="22"/>
              </w:rPr>
            </w:pPr>
            <w:proofErr w:type="spellStart"/>
            <w:r w:rsidRPr="00445A49">
              <w:rPr>
                <w:rFonts w:ascii="Arial" w:hAnsi="Arial" w:cs="Arial"/>
                <w:sz w:val="22"/>
                <w:szCs w:val="22"/>
              </w:rPr>
              <w:t>Nb</w:t>
            </w:r>
            <w:proofErr w:type="spellEnd"/>
            <w:r w:rsidRPr="00445A49">
              <w:rPr>
                <w:rFonts w:ascii="Arial" w:hAnsi="Arial" w:cs="Arial"/>
                <w:sz w:val="22"/>
                <w:szCs w:val="22"/>
              </w:rPr>
              <w:t xml:space="preserve"> – the most recent Judicial Attitudes survey  (Feb 2015) found stronger relationships and better scores across a range of areas in Scotland compared to the rest of the UK, with 88% of Scottish Judges feeling valued by court staff.</w:t>
            </w:r>
          </w:p>
          <w:p w:rsidR="00645EF5" w:rsidRPr="00F66E82" w:rsidRDefault="00645EF5">
            <w:pPr>
              <w:rPr>
                <w:rFonts w:ascii="Arial" w:eastAsiaTheme="minorHAnsi" w:hAnsi="Arial" w:cs="Arial"/>
                <w:sz w:val="16"/>
                <w:szCs w:val="16"/>
                <w:lang w:eastAsia="en-US"/>
              </w:rPr>
            </w:pP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Frequency of Collection</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rPr>
            </w:pPr>
            <w:r>
              <w:rPr>
                <w:rFonts w:ascii="Arial" w:hAnsi="Arial" w:cs="Arial"/>
              </w:rPr>
              <w:t>Quarterly</w:t>
            </w:r>
          </w:p>
          <w:p w:rsidR="00656499" w:rsidRPr="00F66E82" w:rsidRDefault="00656499">
            <w:pPr>
              <w:rPr>
                <w:rFonts w:ascii="Arial" w:eastAsiaTheme="minorHAnsi" w:hAnsi="Arial" w:cs="Arial"/>
                <w:sz w:val="16"/>
                <w:szCs w:val="16"/>
                <w:lang w:eastAsia="en-US"/>
              </w:rPr>
            </w:pP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 xml:space="preserve">Frequency of Reporting </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rPr>
            </w:pPr>
            <w:r>
              <w:rPr>
                <w:rFonts w:ascii="Arial" w:hAnsi="Arial" w:cs="Arial"/>
              </w:rPr>
              <w:t>Quarterly</w:t>
            </w:r>
          </w:p>
          <w:p w:rsidR="00656499" w:rsidRDefault="00656499">
            <w:pPr>
              <w:rPr>
                <w:rFonts w:ascii="Arial" w:eastAsiaTheme="minorHAnsi" w:hAnsi="Arial" w:cs="Arial"/>
                <w:sz w:val="22"/>
                <w:szCs w:val="22"/>
                <w:lang w:eastAsia="en-US"/>
              </w:rPr>
            </w:pPr>
          </w:p>
        </w:tc>
      </w:tr>
      <w:tr w:rsidR="001154C0" w:rsidTr="00445A49">
        <w:tc>
          <w:tcPr>
            <w:tcW w:w="1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Other Comments</w:t>
            </w:r>
          </w:p>
        </w:tc>
        <w:tc>
          <w:tcPr>
            <w:tcW w:w="3356"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color w:val="FF0000"/>
                <w:sz w:val="22"/>
                <w:szCs w:val="22"/>
                <w:highlight w:val="yellow"/>
                <w:lang w:eastAsia="en-US"/>
              </w:rPr>
            </w:pPr>
            <w:r>
              <w:rPr>
                <w:rFonts w:ascii="Arial" w:hAnsi="Arial" w:cs="Arial"/>
                <w:color w:val="000000" w:themeColor="text1"/>
              </w:rPr>
              <w:t>.</w:t>
            </w:r>
            <w:r>
              <w:rPr>
                <w:rStyle w:val="CommentReference"/>
                <w:color w:val="000000" w:themeColor="text1"/>
                <w:sz w:val="20"/>
                <w:szCs w:val="20"/>
              </w:rPr>
              <w:t> </w:t>
            </w:r>
            <w:r>
              <w:rPr>
                <w:rStyle w:val="CommentReference"/>
                <w:color w:val="000000" w:themeColor="text1"/>
              </w:rPr>
              <w:t> </w:t>
            </w:r>
          </w:p>
        </w:tc>
      </w:tr>
    </w:tbl>
    <w:p w:rsidR="001154C0" w:rsidRDefault="001154C0" w:rsidP="001154C0">
      <w:pPr>
        <w:rPr>
          <w:rFonts w:ascii="Calibri" w:eastAsiaTheme="minorHAnsi" w:hAnsi="Calibri"/>
          <w:sz w:val="22"/>
          <w:szCs w:val="22"/>
          <w:lang w:eastAsia="en-US"/>
        </w:rPr>
      </w:pPr>
    </w:p>
    <w:p w:rsidR="0085177D" w:rsidRDefault="0085177D" w:rsidP="001154C0">
      <w:pPr>
        <w:rPr>
          <w:rFonts w:ascii="Calibri" w:eastAsiaTheme="minorHAnsi" w:hAnsi="Calibri"/>
          <w:sz w:val="22"/>
          <w:szCs w:val="22"/>
          <w:lang w:eastAsia="en-US"/>
        </w:rPr>
        <w:sectPr w:rsidR="0085177D">
          <w:pgSz w:w="11906" w:h="16838"/>
          <w:pgMar w:top="1440" w:right="1800" w:bottom="1440" w:left="1800" w:header="708" w:footer="708" w:gutter="0"/>
          <w:cols w:space="708"/>
          <w:docGrid w:linePitch="360"/>
        </w:sectPr>
      </w:pPr>
    </w:p>
    <w:tbl>
      <w:tblPr>
        <w:tblW w:w="5407" w:type="pct"/>
        <w:tblInd w:w="-318" w:type="dxa"/>
        <w:tblCellMar>
          <w:left w:w="0" w:type="dxa"/>
          <w:right w:w="0" w:type="dxa"/>
        </w:tblCellMar>
        <w:tblLook w:val="04A0" w:firstRow="1" w:lastRow="0" w:firstColumn="1" w:lastColumn="0" w:noHBand="0" w:noVBand="1"/>
      </w:tblPr>
      <w:tblGrid>
        <w:gridCol w:w="3121"/>
        <w:gridCol w:w="6095"/>
      </w:tblGrid>
      <w:tr w:rsidR="001154C0" w:rsidTr="00A946AD">
        <w:trPr>
          <w:trHeight w:val="274"/>
        </w:trPr>
        <w:tc>
          <w:tcPr>
            <w:tcW w:w="1693"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154C0" w:rsidRDefault="001154C0">
            <w:pPr>
              <w:rPr>
                <w:rFonts w:ascii="Arial" w:eastAsiaTheme="minorHAnsi" w:hAnsi="Arial" w:cs="Arial"/>
                <w:b/>
                <w:bCs/>
                <w:sz w:val="22"/>
                <w:szCs w:val="22"/>
                <w:lang w:eastAsia="en-US"/>
              </w:rPr>
            </w:pPr>
            <w:r>
              <w:rPr>
                <w:rFonts w:ascii="Arial" w:hAnsi="Arial" w:cs="Arial"/>
                <w:b/>
                <w:bCs/>
              </w:rPr>
              <w:lastRenderedPageBreak/>
              <w:t>Strategic Priority 2</w:t>
            </w:r>
          </w:p>
        </w:tc>
        <w:tc>
          <w:tcPr>
            <w:tcW w:w="3307"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154C0" w:rsidRDefault="001154C0">
            <w:pPr>
              <w:rPr>
                <w:rFonts w:ascii="Arial" w:hAnsi="Arial" w:cs="Arial"/>
                <w:b/>
                <w:bCs/>
              </w:rPr>
            </w:pPr>
            <w:r>
              <w:rPr>
                <w:rFonts w:ascii="Arial" w:hAnsi="Arial" w:cs="Arial"/>
                <w:b/>
                <w:bCs/>
              </w:rPr>
              <w:t xml:space="preserve">Satisfied Court </w:t>
            </w:r>
            <w:r w:rsidR="00EB61D4">
              <w:rPr>
                <w:rFonts w:ascii="Arial" w:hAnsi="Arial" w:cs="Arial"/>
                <w:b/>
                <w:bCs/>
              </w:rPr>
              <w:t xml:space="preserve">and Tribunal </w:t>
            </w:r>
            <w:r>
              <w:rPr>
                <w:rFonts w:ascii="Arial" w:hAnsi="Arial" w:cs="Arial"/>
                <w:b/>
                <w:bCs/>
              </w:rPr>
              <w:t>Users</w:t>
            </w:r>
          </w:p>
          <w:p w:rsidR="00D14CCE" w:rsidRDefault="00D14CCE">
            <w:pPr>
              <w:rPr>
                <w:rFonts w:ascii="Arial" w:eastAsiaTheme="minorHAnsi" w:hAnsi="Arial" w:cs="Arial"/>
                <w:b/>
                <w:bCs/>
                <w:sz w:val="22"/>
                <w:szCs w:val="22"/>
                <w:lang w:eastAsia="en-US"/>
              </w:rPr>
            </w:pP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b/>
                <w:bCs/>
                <w:sz w:val="22"/>
                <w:szCs w:val="22"/>
                <w:lang w:eastAsia="en-US"/>
              </w:rPr>
            </w:pPr>
            <w:r>
              <w:rPr>
                <w:rFonts w:ascii="Arial" w:hAnsi="Arial" w:cs="Arial"/>
                <w:b/>
                <w:bCs/>
              </w:rPr>
              <w:t>Measure 2(a)</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0D27C9">
            <w:pPr>
              <w:rPr>
                <w:rFonts w:ascii="Arial" w:eastAsiaTheme="minorHAnsi" w:hAnsi="Arial" w:cs="Arial"/>
                <w:b/>
                <w:bCs/>
                <w:sz w:val="22"/>
                <w:szCs w:val="22"/>
                <w:lang w:eastAsia="en-US"/>
              </w:rPr>
            </w:pPr>
            <w:r>
              <w:rPr>
                <w:rFonts w:ascii="Arial" w:hAnsi="Arial" w:cs="Arial"/>
                <w:b/>
                <w:bCs/>
              </w:rPr>
              <w:t>SCTS Service</w:t>
            </w:r>
            <w:r w:rsidR="001154C0">
              <w:rPr>
                <w:rFonts w:ascii="Arial" w:hAnsi="Arial" w:cs="Arial"/>
                <w:b/>
                <w:bCs/>
              </w:rPr>
              <w:t xml:space="preserve"> user satisfaction</w:t>
            </w: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Description of Measure</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color w:val="000000" w:themeColor="text1"/>
              </w:rPr>
            </w:pPr>
            <w:r>
              <w:rPr>
                <w:rFonts w:ascii="Arial" w:hAnsi="Arial" w:cs="Arial"/>
                <w:color w:val="000000" w:themeColor="text1"/>
              </w:rPr>
              <w:t>The Court U</w:t>
            </w:r>
            <w:r w:rsidR="000273BE">
              <w:rPr>
                <w:rFonts w:ascii="Arial" w:hAnsi="Arial" w:cs="Arial"/>
                <w:color w:val="000000" w:themeColor="text1"/>
              </w:rPr>
              <w:t>ser Satisfaction Survey measures</w:t>
            </w:r>
            <w:r>
              <w:rPr>
                <w:rFonts w:ascii="Arial" w:hAnsi="Arial" w:cs="Arial"/>
                <w:color w:val="000000" w:themeColor="text1"/>
              </w:rPr>
              <w:t xml:space="preserve"> overall satisfaction and satisfaction with specific elements of the service provided by SC</w:t>
            </w:r>
            <w:r w:rsidR="000273BE">
              <w:rPr>
                <w:rFonts w:ascii="Arial" w:hAnsi="Arial" w:cs="Arial"/>
                <w:color w:val="000000" w:themeColor="text1"/>
              </w:rPr>
              <w:t>T</w:t>
            </w:r>
            <w:r w:rsidR="000D27C9">
              <w:rPr>
                <w:rFonts w:ascii="Arial" w:hAnsi="Arial" w:cs="Arial"/>
                <w:color w:val="000000" w:themeColor="text1"/>
              </w:rPr>
              <w:t>S.  The Customer Service Excellence Assessment (CSE) provides an independent assessment of the level of customer service provided by SCTS, based around 57 key elements.</w:t>
            </w:r>
          </w:p>
          <w:p w:rsidR="00A31A4E" w:rsidRPr="00E33CFC" w:rsidRDefault="00A31A4E">
            <w:pPr>
              <w:rPr>
                <w:rFonts w:ascii="Arial" w:eastAsiaTheme="minorHAnsi" w:hAnsi="Arial" w:cs="Arial"/>
                <w:sz w:val="16"/>
                <w:szCs w:val="16"/>
                <w:highlight w:val="yellow"/>
                <w:lang w:eastAsia="en-US"/>
              </w:rPr>
            </w:pP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154C0" w:rsidRDefault="001154C0">
            <w:pPr>
              <w:rPr>
                <w:rFonts w:ascii="Arial" w:eastAsiaTheme="minorHAnsi" w:hAnsi="Arial" w:cs="Arial"/>
                <w:sz w:val="22"/>
                <w:szCs w:val="22"/>
                <w:lang w:eastAsia="en-US"/>
              </w:rPr>
            </w:pPr>
            <w:r>
              <w:rPr>
                <w:rFonts w:ascii="Arial" w:hAnsi="Arial" w:cs="Arial"/>
              </w:rPr>
              <w:t>Purpose of Measure</w:t>
            </w:r>
          </w:p>
          <w:p w:rsidR="001154C0" w:rsidRDefault="001154C0">
            <w:pPr>
              <w:rPr>
                <w:rFonts w:ascii="Arial" w:hAnsi="Arial" w:cs="Arial"/>
              </w:rPr>
            </w:pPr>
          </w:p>
          <w:p w:rsidR="001154C0" w:rsidRDefault="001154C0">
            <w:pPr>
              <w:rPr>
                <w:rFonts w:ascii="Arial" w:eastAsiaTheme="minorHAnsi" w:hAnsi="Arial" w:cs="Arial"/>
                <w:sz w:val="22"/>
                <w:szCs w:val="22"/>
                <w:lang w:eastAsia="en-US"/>
              </w:rPr>
            </w:pP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color w:val="000000" w:themeColor="text1"/>
              </w:rPr>
            </w:pPr>
            <w:r>
              <w:rPr>
                <w:rFonts w:ascii="Arial" w:hAnsi="Arial" w:cs="Arial"/>
                <w:color w:val="000000" w:themeColor="text1"/>
              </w:rPr>
              <w:t xml:space="preserve">As a public service provider, understanding what </w:t>
            </w:r>
            <w:r w:rsidR="000273BE">
              <w:rPr>
                <w:rFonts w:ascii="Arial" w:hAnsi="Arial" w:cs="Arial"/>
                <w:color w:val="000000" w:themeColor="text1"/>
              </w:rPr>
              <w:t>service</w:t>
            </w:r>
            <w:r>
              <w:rPr>
                <w:rFonts w:ascii="Arial" w:hAnsi="Arial" w:cs="Arial"/>
                <w:color w:val="000000" w:themeColor="text1"/>
              </w:rPr>
              <w:t xml:space="preserve"> users think of SC</w:t>
            </w:r>
            <w:r w:rsidR="000273BE">
              <w:rPr>
                <w:rFonts w:ascii="Arial" w:hAnsi="Arial" w:cs="Arial"/>
                <w:color w:val="000000" w:themeColor="text1"/>
              </w:rPr>
              <w:t>T</w:t>
            </w:r>
            <w:r>
              <w:rPr>
                <w:rFonts w:ascii="Arial" w:hAnsi="Arial" w:cs="Arial"/>
                <w:color w:val="000000" w:themeColor="text1"/>
              </w:rPr>
              <w:t>S services is important in demonstrating that the SC</w:t>
            </w:r>
            <w:r w:rsidR="000273BE">
              <w:rPr>
                <w:rFonts w:ascii="Arial" w:hAnsi="Arial" w:cs="Arial"/>
                <w:color w:val="000000" w:themeColor="text1"/>
              </w:rPr>
              <w:t>T</w:t>
            </w:r>
            <w:r>
              <w:rPr>
                <w:rFonts w:ascii="Arial" w:hAnsi="Arial" w:cs="Arial"/>
                <w:color w:val="000000" w:themeColor="text1"/>
              </w:rPr>
              <w:t>S is providing value for money and is able to respond to the concerns of users.</w:t>
            </w:r>
          </w:p>
          <w:p w:rsidR="00A31A4E" w:rsidRPr="000E6FCA" w:rsidRDefault="00A31A4E">
            <w:pPr>
              <w:rPr>
                <w:rFonts w:ascii="Arial" w:eastAsiaTheme="minorHAnsi" w:hAnsi="Arial" w:cs="Arial"/>
                <w:color w:val="000000" w:themeColor="text1"/>
                <w:sz w:val="16"/>
                <w:szCs w:val="16"/>
                <w:lang w:eastAsia="en-US"/>
              </w:rPr>
            </w:pPr>
          </w:p>
          <w:p w:rsidR="001154C0" w:rsidRDefault="001154C0">
            <w:pPr>
              <w:rPr>
                <w:rFonts w:ascii="Arial" w:hAnsi="Arial" w:cs="Arial"/>
                <w:color w:val="000000" w:themeColor="text1"/>
              </w:rPr>
            </w:pPr>
            <w:r>
              <w:rPr>
                <w:rFonts w:ascii="Arial" w:hAnsi="Arial" w:cs="Arial"/>
                <w:color w:val="000000" w:themeColor="text1"/>
              </w:rPr>
              <w:t>The Court User Satisfaction Survey provides an objective evidence base to scrutinise the approach to service provision.</w:t>
            </w:r>
            <w:r w:rsidR="000273BE">
              <w:rPr>
                <w:rFonts w:ascii="Arial" w:hAnsi="Arial" w:cs="Arial"/>
                <w:color w:val="000000" w:themeColor="text1"/>
              </w:rPr>
              <w:t xml:space="preserve">  At this point in time the survey relates to court users only, but work will progress in 2015-16 to consider how the views of tribunal users can be measured.</w:t>
            </w:r>
            <w:r w:rsidR="000D27C9">
              <w:rPr>
                <w:rFonts w:ascii="Arial" w:hAnsi="Arial" w:cs="Arial"/>
                <w:color w:val="000000" w:themeColor="text1"/>
              </w:rPr>
              <w:t xml:space="preserve">  Similarly the CSE assessment is being extended to include tribunals from 2016.</w:t>
            </w:r>
          </w:p>
          <w:p w:rsidR="00A31A4E" w:rsidRPr="000E6FCA" w:rsidRDefault="00A31A4E">
            <w:pPr>
              <w:rPr>
                <w:rFonts w:ascii="Arial" w:hAnsi="Arial" w:cs="Arial"/>
                <w:color w:val="000000" w:themeColor="text1"/>
                <w:sz w:val="16"/>
                <w:szCs w:val="16"/>
              </w:rPr>
            </w:pPr>
          </w:p>
          <w:p w:rsidR="001154C0" w:rsidRDefault="000273BE">
            <w:pPr>
              <w:rPr>
                <w:rFonts w:ascii="Arial" w:hAnsi="Arial" w:cs="Arial"/>
                <w:color w:val="000000" w:themeColor="text1"/>
              </w:rPr>
            </w:pPr>
            <w:r>
              <w:rPr>
                <w:rFonts w:ascii="Arial" w:hAnsi="Arial" w:cs="Arial"/>
                <w:color w:val="000000" w:themeColor="text1"/>
              </w:rPr>
              <w:t>Evidence from the</w:t>
            </w:r>
            <w:r w:rsidR="000D27C9">
              <w:rPr>
                <w:rFonts w:ascii="Arial" w:hAnsi="Arial" w:cs="Arial"/>
                <w:color w:val="000000" w:themeColor="text1"/>
              </w:rPr>
              <w:t>se</w:t>
            </w:r>
            <w:r>
              <w:rPr>
                <w:rFonts w:ascii="Arial" w:hAnsi="Arial" w:cs="Arial"/>
                <w:color w:val="000000" w:themeColor="text1"/>
              </w:rPr>
              <w:t xml:space="preserve"> </w:t>
            </w:r>
            <w:r w:rsidR="000D27C9">
              <w:rPr>
                <w:rFonts w:ascii="Arial" w:hAnsi="Arial" w:cs="Arial"/>
                <w:color w:val="000000" w:themeColor="text1"/>
              </w:rPr>
              <w:t>sources</w:t>
            </w:r>
            <w:r>
              <w:rPr>
                <w:rFonts w:ascii="Arial" w:hAnsi="Arial" w:cs="Arial"/>
                <w:color w:val="000000" w:themeColor="text1"/>
              </w:rPr>
              <w:t xml:space="preserve"> is used to direc</w:t>
            </w:r>
            <w:r w:rsidR="000D27C9">
              <w:rPr>
                <w:rFonts w:ascii="Arial" w:hAnsi="Arial" w:cs="Arial"/>
                <w:color w:val="000000" w:themeColor="text1"/>
              </w:rPr>
              <w:t>t further improvement activity</w:t>
            </w:r>
            <w:r w:rsidR="001154C0">
              <w:rPr>
                <w:rFonts w:ascii="Arial" w:hAnsi="Arial" w:cs="Arial"/>
                <w:color w:val="000000" w:themeColor="text1"/>
              </w:rPr>
              <w:t>.</w:t>
            </w:r>
          </w:p>
          <w:p w:rsidR="00A31A4E" w:rsidRDefault="00A31A4E">
            <w:pPr>
              <w:rPr>
                <w:rFonts w:ascii="Arial" w:eastAsiaTheme="minorHAnsi" w:hAnsi="Arial" w:cs="Arial"/>
                <w:sz w:val="22"/>
                <w:szCs w:val="22"/>
                <w:highlight w:val="yellow"/>
                <w:lang w:eastAsia="en-US"/>
              </w:rPr>
            </w:pP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Measure Owner</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rPr>
            </w:pPr>
            <w:r>
              <w:rPr>
                <w:rFonts w:ascii="Arial" w:hAnsi="Arial" w:cs="Arial"/>
              </w:rPr>
              <w:t>Head of Research</w:t>
            </w:r>
          </w:p>
          <w:p w:rsidR="00A31A4E" w:rsidRPr="00E33CFC" w:rsidRDefault="00A31A4E">
            <w:pPr>
              <w:rPr>
                <w:rFonts w:ascii="Arial" w:eastAsiaTheme="minorHAnsi" w:hAnsi="Arial" w:cs="Arial"/>
                <w:sz w:val="16"/>
                <w:szCs w:val="16"/>
                <w:highlight w:val="yellow"/>
                <w:lang w:eastAsia="en-US"/>
              </w:rPr>
            </w:pP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Source of the data</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color w:val="000000" w:themeColor="text1"/>
              </w:rPr>
            </w:pPr>
            <w:r>
              <w:rPr>
                <w:rFonts w:ascii="Arial" w:hAnsi="Arial" w:cs="Arial"/>
                <w:color w:val="000000" w:themeColor="text1"/>
              </w:rPr>
              <w:t xml:space="preserve">Survey data supplied </w:t>
            </w:r>
            <w:r w:rsidR="000273BE">
              <w:rPr>
                <w:rFonts w:ascii="Arial" w:hAnsi="Arial" w:cs="Arial"/>
                <w:color w:val="000000" w:themeColor="text1"/>
              </w:rPr>
              <w:t xml:space="preserve">by </w:t>
            </w:r>
            <w:proofErr w:type="spellStart"/>
            <w:r w:rsidR="000273BE">
              <w:rPr>
                <w:rFonts w:ascii="Arial" w:hAnsi="Arial" w:cs="Arial"/>
                <w:color w:val="000000" w:themeColor="text1"/>
              </w:rPr>
              <w:t>Systra</w:t>
            </w:r>
            <w:proofErr w:type="spellEnd"/>
            <w:r w:rsidR="000273BE">
              <w:rPr>
                <w:rFonts w:ascii="Arial" w:hAnsi="Arial" w:cs="Arial"/>
                <w:color w:val="000000" w:themeColor="text1"/>
              </w:rPr>
              <w:t xml:space="preserve"> Ltd (previously MVA).</w:t>
            </w:r>
          </w:p>
          <w:p w:rsidR="00F03EE5" w:rsidRDefault="000D27C9">
            <w:pPr>
              <w:rPr>
                <w:rFonts w:ascii="Arial" w:hAnsi="Arial" w:cs="Arial"/>
                <w:color w:val="000000" w:themeColor="text1"/>
              </w:rPr>
            </w:pPr>
            <w:r>
              <w:rPr>
                <w:rFonts w:ascii="Arial" w:hAnsi="Arial" w:cs="Arial"/>
                <w:color w:val="000000" w:themeColor="text1"/>
              </w:rPr>
              <w:t>Independent CSE</w:t>
            </w:r>
            <w:r w:rsidR="00F03EE5">
              <w:rPr>
                <w:rFonts w:ascii="Arial" w:hAnsi="Arial" w:cs="Arial"/>
                <w:color w:val="000000" w:themeColor="text1"/>
              </w:rPr>
              <w:t xml:space="preserve"> Assessment</w:t>
            </w:r>
            <w:r>
              <w:rPr>
                <w:rFonts w:ascii="Arial" w:hAnsi="Arial" w:cs="Arial"/>
                <w:color w:val="000000" w:themeColor="text1"/>
              </w:rPr>
              <w:t xml:space="preserve"> process</w:t>
            </w:r>
          </w:p>
          <w:p w:rsidR="00A31A4E" w:rsidRPr="00E33CFC" w:rsidRDefault="00A31A4E">
            <w:pPr>
              <w:rPr>
                <w:rFonts w:ascii="Arial" w:eastAsiaTheme="minorHAnsi" w:hAnsi="Arial" w:cs="Arial"/>
                <w:color w:val="000000" w:themeColor="text1"/>
                <w:sz w:val="16"/>
                <w:szCs w:val="16"/>
                <w:lang w:eastAsia="en-US"/>
              </w:rPr>
            </w:pP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Basis of calculation</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hAnsi="Arial" w:cs="Arial"/>
                <w:color w:val="000000" w:themeColor="text1"/>
              </w:rPr>
            </w:pPr>
            <w:r>
              <w:rPr>
                <w:rFonts w:ascii="Arial" w:hAnsi="Arial" w:cs="Arial"/>
                <w:color w:val="000000" w:themeColor="text1"/>
              </w:rPr>
              <w:t>Quantitative survey</w:t>
            </w:r>
            <w:r w:rsidR="000D27C9">
              <w:rPr>
                <w:rFonts w:ascii="Arial" w:hAnsi="Arial" w:cs="Arial"/>
                <w:color w:val="000000" w:themeColor="text1"/>
              </w:rPr>
              <w:t xml:space="preserve"> and assessment</w:t>
            </w:r>
            <w:r>
              <w:rPr>
                <w:rFonts w:ascii="Arial" w:hAnsi="Arial" w:cs="Arial"/>
                <w:color w:val="000000" w:themeColor="text1"/>
              </w:rPr>
              <w:t xml:space="preserve"> data.</w:t>
            </w:r>
          </w:p>
          <w:p w:rsidR="00A31A4E" w:rsidRPr="00E33CFC" w:rsidRDefault="00A31A4E">
            <w:pPr>
              <w:rPr>
                <w:rFonts w:ascii="Arial" w:eastAsiaTheme="minorHAnsi" w:hAnsi="Arial" w:cs="Arial"/>
                <w:color w:val="000000" w:themeColor="text1"/>
                <w:sz w:val="16"/>
                <w:szCs w:val="16"/>
                <w:lang w:eastAsia="en-US"/>
              </w:rPr>
            </w:pP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Performance thresholds for Red/Amber/Green</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F03EE5" w:rsidRDefault="00691DB0">
            <w:pPr>
              <w:rPr>
                <w:rFonts w:ascii="Arial" w:hAnsi="Arial" w:cs="Arial"/>
              </w:rPr>
            </w:pPr>
            <w:r>
              <w:rPr>
                <w:rFonts w:ascii="Arial" w:hAnsi="Arial" w:cs="Arial"/>
              </w:rPr>
              <w:t>Red &lt;65% satisfaction levels and/or failure to maintain CSE accreditation.</w:t>
            </w:r>
          </w:p>
          <w:p w:rsidR="00691DB0" w:rsidRPr="000543B4" w:rsidRDefault="00691DB0">
            <w:pPr>
              <w:rPr>
                <w:rFonts w:ascii="Arial" w:eastAsiaTheme="minorHAnsi" w:hAnsi="Arial" w:cs="Arial"/>
                <w:color w:val="000000" w:themeColor="text1"/>
                <w:sz w:val="16"/>
                <w:szCs w:val="16"/>
                <w:lang w:eastAsia="en-US"/>
              </w:rPr>
            </w:pPr>
          </w:p>
          <w:p w:rsidR="00691DB0" w:rsidRDefault="00691DB0" w:rsidP="00691DB0">
            <w:pPr>
              <w:rPr>
                <w:rFonts w:ascii="Arial" w:hAnsi="Arial" w:cs="Arial"/>
              </w:rPr>
            </w:pPr>
            <w:r>
              <w:rPr>
                <w:rFonts w:ascii="Arial" w:hAnsi="Arial" w:cs="Arial"/>
              </w:rPr>
              <w:t xml:space="preserve">Amber 65% - 78% satisfaction levels and/or CSE maintained, but with deterioration in assessment </w:t>
            </w:r>
            <w:r w:rsidRPr="00691DB0">
              <w:rPr>
                <w:rFonts w:ascii="Arial" w:hAnsi="Arial" w:cs="Arial"/>
                <w:i/>
              </w:rPr>
              <w:t>(i.e. net decline in level of assessment in 5 or more elements compared to previous year)</w:t>
            </w:r>
          </w:p>
          <w:p w:rsidR="00A946AD" w:rsidRPr="000543B4" w:rsidRDefault="00A946AD" w:rsidP="00A946AD">
            <w:pPr>
              <w:rPr>
                <w:rFonts w:ascii="Arial" w:eastAsiaTheme="minorHAnsi" w:hAnsi="Arial" w:cs="Arial"/>
                <w:color w:val="000000" w:themeColor="text1"/>
                <w:sz w:val="16"/>
                <w:szCs w:val="16"/>
                <w:lang w:eastAsia="en-US"/>
              </w:rPr>
            </w:pPr>
          </w:p>
          <w:p w:rsidR="00691DB0" w:rsidRDefault="00691DB0" w:rsidP="00691DB0">
            <w:pPr>
              <w:rPr>
                <w:rFonts w:ascii="Arial" w:hAnsi="Arial" w:cs="Arial"/>
              </w:rPr>
            </w:pPr>
            <w:r>
              <w:rPr>
                <w:rFonts w:ascii="Arial" w:hAnsi="Arial" w:cs="Arial"/>
              </w:rPr>
              <w:t>Green &gt; 78% satisfaction levels and CSE assessment maintaining or improving (i.e. above the threshold for amber).</w:t>
            </w:r>
          </w:p>
          <w:p w:rsidR="00A31A4E" w:rsidRPr="00E33CFC" w:rsidRDefault="00A31A4E">
            <w:pPr>
              <w:rPr>
                <w:rFonts w:ascii="Arial" w:eastAsiaTheme="minorHAnsi" w:hAnsi="Arial" w:cs="Arial"/>
                <w:color w:val="000000" w:themeColor="text1"/>
                <w:sz w:val="16"/>
                <w:szCs w:val="16"/>
                <w:lang w:eastAsia="en-US"/>
              </w:rPr>
            </w:pP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Frequency of Collection</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E33CFC">
            <w:pPr>
              <w:rPr>
                <w:rFonts w:ascii="Arial" w:hAnsi="Arial" w:cs="Arial"/>
                <w:color w:val="000000" w:themeColor="text1"/>
              </w:rPr>
            </w:pPr>
            <w:r>
              <w:rPr>
                <w:rFonts w:ascii="Arial" w:hAnsi="Arial" w:cs="Arial"/>
                <w:color w:val="000000" w:themeColor="text1"/>
              </w:rPr>
              <w:t>CSE Assessment – annual</w:t>
            </w:r>
          </w:p>
          <w:p w:rsidR="00E33CFC" w:rsidRDefault="00E33CFC">
            <w:pPr>
              <w:rPr>
                <w:rFonts w:ascii="Arial" w:hAnsi="Arial" w:cs="Arial"/>
                <w:color w:val="000000" w:themeColor="text1"/>
              </w:rPr>
            </w:pPr>
            <w:r>
              <w:rPr>
                <w:rFonts w:ascii="Arial" w:hAnsi="Arial" w:cs="Arial"/>
                <w:color w:val="000000" w:themeColor="text1"/>
              </w:rPr>
              <w:t>Court User Survey – bi-annual</w:t>
            </w:r>
          </w:p>
          <w:p w:rsidR="00A31A4E" w:rsidRPr="00E33CFC" w:rsidRDefault="00A31A4E">
            <w:pPr>
              <w:rPr>
                <w:rFonts w:ascii="Arial" w:eastAsiaTheme="minorHAnsi" w:hAnsi="Arial" w:cs="Arial"/>
                <w:color w:val="000000" w:themeColor="text1"/>
                <w:sz w:val="16"/>
                <w:szCs w:val="16"/>
                <w:lang w:eastAsia="en-US"/>
              </w:rPr>
            </w:pPr>
          </w:p>
        </w:tc>
      </w:tr>
      <w:tr w:rsidR="001154C0" w:rsidTr="00A946AD">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54C0" w:rsidRDefault="001154C0">
            <w:pPr>
              <w:rPr>
                <w:rFonts w:ascii="Arial" w:eastAsiaTheme="minorHAnsi" w:hAnsi="Arial" w:cs="Arial"/>
                <w:sz w:val="22"/>
                <w:szCs w:val="22"/>
                <w:lang w:eastAsia="en-US"/>
              </w:rPr>
            </w:pPr>
            <w:r>
              <w:rPr>
                <w:rFonts w:ascii="Arial" w:hAnsi="Arial" w:cs="Arial"/>
              </w:rPr>
              <w:t>Other Comments</w:t>
            </w:r>
          </w:p>
        </w:tc>
        <w:tc>
          <w:tcPr>
            <w:tcW w:w="3307" w:type="pct"/>
            <w:tcBorders>
              <w:top w:val="nil"/>
              <w:left w:val="nil"/>
              <w:bottom w:val="single" w:sz="8" w:space="0" w:color="auto"/>
              <w:right w:val="single" w:sz="8" w:space="0" w:color="auto"/>
            </w:tcBorders>
            <w:tcMar>
              <w:top w:w="0" w:type="dxa"/>
              <w:left w:w="108" w:type="dxa"/>
              <w:bottom w:w="0" w:type="dxa"/>
              <w:right w:w="108" w:type="dxa"/>
            </w:tcMar>
            <w:hideMark/>
          </w:tcPr>
          <w:p w:rsidR="001154C0" w:rsidRDefault="001154C0" w:rsidP="000273BE">
            <w:pPr>
              <w:rPr>
                <w:rFonts w:ascii="Arial" w:eastAsiaTheme="minorHAnsi" w:hAnsi="Arial" w:cs="Arial"/>
                <w:sz w:val="22"/>
                <w:szCs w:val="22"/>
                <w:highlight w:val="yellow"/>
                <w:lang w:eastAsia="en-US"/>
              </w:rPr>
            </w:pPr>
            <w:r>
              <w:rPr>
                <w:rFonts w:ascii="Arial" w:hAnsi="Arial" w:cs="Arial"/>
                <w:color w:val="000000" w:themeColor="text1"/>
              </w:rPr>
              <w:t xml:space="preserve">2015 </w:t>
            </w:r>
            <w:r w:rsidR="00691DB0">
              <w:rPr>
                <w:rFonts w:ascii="Arial" w:hAnsi="Arial" w:cs="Arial"/>
                <w:color w:val="000000" w:themeColor="text1"/>
              </w:rPr>
              <w:t xml:space="preserve">court user </w:t>
            </w:r>
            <w:r>
              <w:rPr>
                <w:rFonts w:ascii="Arial" w:hAnsi="Arial" w:cs="Arial"/>
                <w:color w:val="000000" w:themeColor="text1"/>
              </w:rPr>
              <w:t xml:space="preserve">survey results </w:t>
            </w:r>
            <w:r w:rsidR="000273BE">
              <w:rPr>
                <w:rFonts w:ascii="Arial" w:hAnsi="Arial" w:cs="Arial"/>
                <w:color w:val="000000" w:themeColor="text1"/>
              </w:rPr>
              <w:t>likely to be</w:t>
            </w:r>
            <w:r>
              <w:rPr>
                <w:rFonts w:ascii="Arial" w:hAnsi="Arial" w:cs="Arial"/>
                <w:color w:val="000000" w:themeColor="text1"/>
              </w:rPr>
              <w:t xml:space="preserve"> available in Q3 2015-16. </w:t>
            </w:r>
          </w:p>
        </w:tc>
      </w:tr>
    </w:tbl>
    <w:p w:rsidR="00A31A4E" w:rsidRDefault="00A31A4E" w:rsidP="00ED0E87">
      <w:pPr>
        <w:rPr>
          <w:rFonts w:ascii="Arial" w:hAnsi="Arial" w:cs="Arial"/>
          <w:sz w:val="22"/>
          <w:szCs w:val="22"/>
        </w:rPr>
        <w:sectPr w:rsidR="00A31A4E">
          <w:pgSz w:w="11906" w:h="16838"/>
          <w:pgMar w:top="1440" w:right="1800" w:bottom="1440" w:left="1800" w:header="708" w:footer="708" w:gutter="0"/>
          <w:cols w:space="708"/>
          <w:docGrid w:linePitch="360"/>
        </w:sectPr>
      </w:pPr>
    </w:p>
    <w:p w:rsidR="0064375A" w:rsidRDefault="0064375A"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684942" w:rsidRPr="00D40E65" w:rsidTr="00684942">
        <w:tc>
          <w:tcPr>
            <w:tcW w:w="1927" w:type="pct"/>
            <w:shd w:val="clear" w:color="auto" w:fill="BFBFBF" w:themeFill="background1" w:themeFillShade="BF"/>
          </w:tcPr>
          <w:p w:rsidR="00684942" w:rsidRPr="00D40E65" w:rsidRDefault="00684942" w:rsidP="00162868">
            <w:pPr>
              <w:rPr>
                <w:rFonts w:ascii="Arial" w:hAnsi="Arial" w:cs="Arial"/>
                <w:b/>
                <w:sz w:val="22"/>
                <w:szCs w:val="22"/>
              </w:rPr>
            </w:pPr>
            <w:r w:rsidRPr="00940BCB">
              <w:rPr>
                <w:rFonts w:ascii="Arial" w:hAnsi="Arial" w:cs="Arial"/>
                <w:b/>
                <w:szCs w:val="22"/>
              </w:rPr>
              <w:t>Strategic Priority 2</w:t>
            </w:r>
          </w:p>
        </w:tc>
        <w:tc>
          <w:tcPr>
            <w:tcW w:w="3073" w:type="pct"/>
            <w:shd w:val="clear" w:color="auto" w:fill="BFBFBF" w:themeFill="background1" w:themeFillShade="BF"/>
          </w:tcPr>
          <w:p w:rsidR="00684942" w:rsidRDefault="00684942" w:rsidP="00280DA5">
            <w:pPr>
              <w:rPr>
                <w:rFonts w:ascii="Arial" w:hAnsi="Arial" w:cs="Arial"/>
                <w:b/>
                <w:szCs w:val="22"/>
              </w:rPr>
            </w:pPr>
            <w:r w:rsidRPr="00940BCB">
              <w:rPr>
                <w:rFonts w:ascii="Arial" w:hAnsi="Arial" w:cs="Arial"/>
                <w:b/>
                <w:szCs w:val="22"/>
              </w:rPr>
              <w:t xml:space="preserve">Satisfied Court </w:t>
            </w:r>
            <w:r w:rsidR="00EB61D4">
              <w:rPr>
                <w:rFonts w:ascii="Arial" w:hAnsi="Arial" w:cs="Arial"/>
                <w:b/>
                <w:szCs w:val="22"/>
              </w:rPr>
              <w:t xml:space="preserve">and Tribunal </w:t>
            </w:r>
            <w:r w:rsidRPr="00940BCB">
              <w:rPr>
                <w:rFonts w:ascii="Arial" w:hAnsi="Arial" w:cs="Arial"/>
                <w:b/>
                <w:szCs w:val="22"/>
              </w:rPr>
              <w:t>Users</w:t>
            </w:r>
          </w:p>
          <w:p w:rsidR="00D14CCE" w:rsidRPr="00D40E65" w:rsidRDefault="00D14CCE" w:rsidP="00280DA5">
            <w:pPr>
              <w:rPr>
                <w:rFonts w:ascii="Arial" w:hAnsi="Arial" w:cs="Arial"/>
                <w:b/>
                <w:sz w:val="22"/>
                <w:szCs w:val="22"/>
              </w:rPr>
            </w:pPr>
          </w:p>
        </w:tc>
      </w:tr>
      <w:tr w:rsidR="00684942" w:rsidRPr="00D40E65" w:rsidTr="00684942">
        <w:trPr>
          <w:trHeight w:val="274"/>
        </w:trPr>
        <w:tc>
          <w:tcPr>
            <w:tcW w:w="1927" w:type="pct"/>
          </w:tcPr>
          <w:p w:rsidR="00684942" w:rsidRPr="00D14CCE" w:rsidRDefault="00684942" w:rsidP="00280DA5">
            <w:pPr>
              <w:rPr>
                <w:rFonts w:ascii="Arial" w:hAnsi="Arial" w:cs="Arial"/>
                <w:b/>
              </w:rPr>
            </w:pPr>
            <w:r w:rsidRPr="00D14CCE">
              <w:rPr>
                <w:rFonts w:ascii="Arial" w:hAnsi="Arial" w:cs="Arial"/>
                <w:b/>
              </w:rPr>
              <w:t>Measure 2(b)</w:t>
            </w:r>
          </w:p>
        </w:tc>
        <w:tc>
          <w:tcPr>
            <w:tcW w:w="3073" w:type="pct"/>
          </w:tcPr>
          <w:p w:rsidR="00D14CCE" w:rsidRPr="00D14CCE" w:rsidRDefault="00684942" w:rsidP="00280DA5">
            <w:pPr>
              <w:rPr>
                <w:rFonts w:ascii="Arial" w:hAnsi="Arial" w:cs="Arial"/>
                <w:b/>
              </w:rPr>
            </w:pPr>
            <w:r w:rsidRPr="00D14CCE">
              <w:rPr>
                <w:rFonts w:ascii="Arial" w:hAnsi="Arial" w:cs="Arial"/>
                <w:b/>
              </w:rPr>
              <w:t>Disposal of summary criminal cases within 26 weeks</w:t>
            </w:r>
          </w:p>
        </w:tc>
      </w:tr>
      <w:tr w:rsidR="00684942" w:rsidRPr="00D40E65" w:rsidTr="00684942">
        <w:tc>
          <w:tcPr>
            <w:tcW w:w="1927" w:type="pct"/>
          </w:tcPr>
          <w:p w:rsidR="00684942" w:rsidRPr="00D14CCE" w:rsidRDefault="00060B66" w:rsidP="00364ED2">
            <w:pPr>
              <w:rPr>
                <w:rFonts w:ascii="Arial" w:hAnsi="Arial" w:cs="Arial"/>
              </w:rPr>
            </w:pPr>
            <w:r w:rsidRPr="00D14CCE">
              <w:rPr>
                <w:rFonts w:ascii="Arial" w:hAnsi="Arial" w:cs="Arial"/>
              </w:rPr>
              <w:t>Description of Measure</w:t>
            </w:r>
          </w:p>
        </w:tc>
        <w:tc>
          <w:tcPr>
            <w:tcW w:w="3073" w:type="pct"/>
          </w:tcPr>
          <w:p w:rsidR="00684942" w:rsidRPr="00D14CCE" w:rsidRDefault="00684942" w:rsidP="00364ED2">
            <w:pPr>
              <w:rPr>
                <w:rFonts w:ascii="Arial" w:hAnsi="Arial" w:cs="Arial"/>
              </w:rPr>
            </w:pPr>
            <w:r w:rsidRPr="00D14CCE">
              <w:rPr>
                <w:rFonts w:ascii="Arial" w:hAnsi="Arial" w:cs="Arial"/>
              </w:rPr>
              <w:t>Percentage of summary criminal cases completed within a 26 week period from caution and charge to verdict.</w:t>
            </w:r>
          </w:p>
          <w:p w:rsidR="00D14CCE" w:rsidRPr="00D14CCE" w:rsidRDefault="00D14CCE" w:rsidP="00364ED2">
            <w:pPr>
              <w:rPr>
                <w:rFonts w:ascii="Arial" w:hAnsi="Arial" w:cs="Arial"/>
              </w:rPr>
            </w:pPr>
          </w:p>
        </w:tc>
      </w:tr>
      <w:tr w:rsidR="00684942" w:rsidRPr="00D40E65" w:rsidTr="00684942">
        <w:tc>
          <w:tcPr>
            <w:tcW w:w="1927" w:type="pct"/>
          </w:tcPr>
          <w:p w:rsidR="00684942" w:rsidRPr="00D14CCE" w:rsidRDefault="00684942" w:rsidP="00364ED2">
            <w:pPr>
              <w:rPr>
                <w:rFonts w:ascii="Arial" w:hAnsi="Arial" w:cs="Arial"/>
              </w:rPr>
            </w:pPr>
            <w:r w:rsidRPr="00D14CCE">
              <w:rPr>
                <w:rFonts w:ascii="Arial" w:hAnsi="Arial" w:cs="Arial"/>
              </w:rPr>
              <w:t>Purpose of Measure</w:t>
            </w:r>
          </w:p>
          <w:p w:rsidR="00351997" w:rsidRPr="00D14CCE" w:rsidRDefault="00351997" w:rsidP="00351997">
            <w:pPr>
              <w:rPr>
                <w:rFonts w:ascii="Arial" w:hAnsi="Arial" w:cs="Arial"/>
              </w:rPr>
            </w:pPr>
          </w:p>
          <w:p w:rsidR="00684942" w:rsidRPr="00D14CCE" w:rsidRDefault="00684942" w:rsidP="00364ED2">
            <w:pPr>
              <w:rPr>
                <w:rFonts w:ascii="Arial" w:hAnsi="Arial" w:cs="Arial"/>
              </w:rPr>
            </w:pPr>
          </w:p>
        </w:tc>
        <w:tc>
          <w:tcPr>
            <w:tcW w:w="3073" w:type="pct"/>
          </w:tcPr>
          <w:p w:rsidR="00684942" w:rsidRPr="00D14CCE" w:rsidRDefault="00684942" w:rsidP="00364ED2">
            <w:pPr>
              <w:rPr>
                <w:rFonts w:ascii="Arial" w:hAnsi="Arial" w:cs="Arial"/>
              </w:rPr>
            </w:pPr>
            <w:r w:rsidRPr="00D14CCE">
              <w:rPr>
                <w:rFonts w:ascii="Arial" w:hAnsi="Arial" w:cs="Arial"/>
              </w:rPr>
              <w:t>This measure drives collaboration between the police, COPFS, SLAB and SC</w:t>
            </w:r>
            <w:r w:rsidR="000B1676">
              <w:rPr>
                <w:rFonts w:ascii="Arial" w:hAnsi="Arial" w:cs="Arial"/>
              </w:rPr>
              <w:t>T</w:t>
            </w:r>
            <w:r w:rsidRPr="00D14CCE">
              <w:rPr>
                <w:rFonts w:ascii="Arial" w:hAnsi="Arial" w:cs="Arial"/>
              </w:rPr>
              <w:t>S at local and national levels.</w:t>
            </w:r>
            <w:r w:rsidR="00D14CCE" w:rsidRPr="00D14CCE">
              <w:rPr>
                <w:rFonts w:ascii="Arial" w:hAnsi="Arial" w:cs="Arial"/>
              </w:rPr>
              <w:t xml:space="preserve">  </w:t>
            </w:r>
            <w:r w:rsidRPr="00D14CCE">
              <w:rPr>
                <w:rFonts w:ascii="Arial" w:hAnsi="Arial" w:cs="Arial"/>
              </w:rPr>
              <w:t>The SC</w:t>
            </w:r>
            <w:r w:rsidR="000B1676">
              <w:rPr>
                <w:rFonts w:ascii="Arial" w:hAnsi="Arial" w:cs="Arial"/>
              </w:rPr>
              <w:t>T</w:t>
            </w:r>
            <w:r w:rsidRPr="00D14CCE">
              <w:rPr>
                <w:rFonts w:ascii="Arial" w:hAnsi="Arial" w:cs="Arial"/>
              </w:rPr>
              <w:t>S plays a significant part in delivering this target by working with partners on court programming and providing performance information and analysis.</w:t>
            </w:r>
          </w:p>
          <w:p w:rsidR="00D14CCE" w:rsidRPr="00D14CCE" w:rsidRDefault="00D14CCE" w:rsidP="00364ED2">
            <w:pPr>
              <w:rPr>
                <w:rFonts w:ascii="Arial" w:hAnsi="Arial" w:cs="Arial"/>
              </w:rPr>
            </w:pPr>
          </w:p>
          <w:p w:rsidR="00684942" w:rsidRPr="00D14CCE" w:rsidRDefault="00684942" w:rsidP="00364ED2">
            <w:pPr>
              <w:rPr>
                <w:rFonts w:ascii="Arial" w:hAnsi="Arial" w:cs="Arial"/>
              </w:rPr>
            </w:pPr>
            <w:r w:rsidRPr="00D14CCE">
              <w:rPr>
                <w:rFonts w:ascii="Arial" w:hAnsi="Arial" w:cs="Arial"/>
              </w:rPr>
              <w:t>This is a key measure of justice system effectiveness following Summary Justice Reform.</w:t>
            </w:r>
          </w:p>
          <w:p w:rsidR="00D14CCE" w:rsidRPr="00D14CCE" w:rsidRDefault="00D14CCE" w:rsidP="00364ED2">
            <w:pPr>
              <w:rPr>
                <w:rFonts w:ascii="Arial" w:hAnsi="Arial" w:cs="Arial"/>
              </w:rPr>
            </w:pPr>
          </w:p>
        </w:tc>
      </w:tr>
      <w:tr w:rsidR="00684942" w:rsidRPr="00D40E65" w:rsidTr="00684942">
        <w:tc>
          <w:tcPr>
            <w:tcW w:w="1927" w:type="pct"/>
          </w:tcPr>
          <w:p w:rsidR="00684942" w:rsidRPr="00D14CCE" w:rsidRDefault="00684942" w:rsidP="0064375A">
            <w:pPr>
              <w:rPr>
                <w:rFonts w:ascii="Arial" w:hAnsi="Arial" w:cs="Arial"/>
              </w:rPr>
            </w:pPr>
            <w:r w:rsidRPr="00D14CCE">
              <w:rPr>
                <w:rFonts w:ascii="Arial" w:hAnsi="Arial" w:cs="Arial"/>
              </w:rPr>
              <w:t>Measure Owner</w:t>
            </w:r>
          </w:p>
        </w:tc>
        <w:tc>
          <w:tcPr>
            <w:tcW w:w="3073" w:type="pct"/>
          </w:tcPr>
          <w:p w:rsidR="00684942" w:rsidRPr="00D14CCE" w:rsidRDefault="00684942" w:rsidP="00364ED2">
            <w:pPr>
              <w:rPr>
                <w:rFonts w:ascii="Arial" w:hAnsi="Arial" w:cs="Arial"/>
              </w:rPr>
            </w:pPr>
            <w:r w:rsidRPr="00D14CCE">
              <w:rPr>
                <w:rFonts w:ascii="Arial" w:hAnsi="Arial" w:cs="Arial"/>
              </w:rPr>
              <w:t>Director Operations Delivery</w:t>
            </w:r>
          </w:p>
          <w:p w:rsidR="00D14CCE" w:rsidRPr="00D14CCE" w:rsidRDefault="00D14CCE" w:rsidP="00364ED2">
            <w:pPr>
              <w:rPr>
                <w:rFonts w:ascii="Arial" w:hAnsi="Arial" w:cs="Arial"/>
                <w:sz w:val="16"/>
                <w:szCs w:val="16"/>
              </w:rPr>
            </w:pPr>
          </w:p>
        </w:tc>
      </w:tr>
      <w:tr w:rsidR="00684942" w:rsidRPr="00D40E65" w:rsidTr="00684942">
        <w:tc>
          <w:tcPr>
            <w:tcW w:w="1927" w:type="pct"/>
          </w:tcPr>
          <w:p w:rsidR="00684942" w:rsidRPr="00D14CCE" w:rsidRDefault="00684942" w:rsidP="00364ED2">
            <w:pPr>
              <w:rPr>
                <w:rFonts w:ascii="Arial" w:hAnsi="Arial" w:cs="Arial"/>
              </w:rPr>
            </w:pPr>
            <w:r w:rsidRPr="00D14CCE">
              <w:rPr>
                <w:rFonts w:ascii="Arial" w:hAnsi="Arial" w:cs="Arial"/>
              </w:rPr>
              <w:t>Source of the data</w:t>
            </w:r>
          </w:p>
        </w:tc>
        <w:tc>
          <w:tcPr>
            <w:tcW w:w="3073" w:type="pct"/>
          </w:tcPr>
          <w:p w:rsidR="00684942" w:rsidRPr="00D14CCE" w:rsidRDefault="00684942" w:rsidP="00364ED2">
            <w:pPr>
              <w:rPr>
                <w:rFonts w:ascii="Arial" w:hAnsi="Arial" w:cs="Arial"/>
              </w:rPr>
            </w:pPr>
            <w:r w:rsidRPr="00D14CCE">
              <w:rPr>
                <w:rFonts w:ascii="Arial" w:hAnsi="Arial" w:cs="Arial"/>
              </w:rPr>
              <w:t xml:space="preserve">Data is drawn from Crown Office </w:t>
            </w:r>
            <w:r w:rsidR="00D14CCE" w:rsidRPr="00D14CCE">
              <w:rPr>
                <w:rFonts w:ascii="Arial" w:hAnsi="Arial" w:cs="Arial"/>
              </w:rPr>
              <w:t xml:space="preserve">&amp; </w:t>
            </w:r>
            <w:r w:rsidRPr="00D14CCE">
              <w:rPr>
                <w:rFonts w:ascii="Arial" w:hAnsi="Arial" w:cs="Arial"/>
              </w:rPr>
              <w:t>Procurator Fiscal Service by the Scottish Government and is made available to the SC</w:t>
            </w:r>
            <w:r w:rsidR="00462285">
              <w:rPr>
                <w:rFonts w:ascii="Arial" w:hAnsi="Arial" w:cs="Arial"/>
              </w:rPr>
              <w:t>T</w:t>
            </w:r>
            <w:r w:rsidRPr="00D14CCE">
              <w:rPr>
                <w:rFonts w:ascii="Arial" w:hAnsi="Arial" w:cs="Arial"/>
              </w:rPr>
              <w:t>S monthly in arrears via the Criminal Justice Board Management Information System.</w:t>
            </w:r>
          </w:p>
          <w:p w:rsidR="00D14CCE" w:rsidRPr="00D14CCE" w:rsidRDefault="00D14CCE" w:rsidP="00364ED2">
            <w:pPr>
              <w:rPr>
                <w:rFonts w:ascii="Arial" w:hAnsi="Arial" w:cs="Arial"/>
                <w:sz w:val="16"/>
                <w:szCs w:val="16"/>
              </w:rPr>
            </w:pPr>
          </w:p>
        </w:tc>
      </w:tr>
      <w:tr w:rsidR="00684942" w:rsidRPr="00D40E65" w:rsidTr="00684942">
        <w:tc>
          <w:tcPr>
            <w:tcW w:w="1927" w:type="pct"/>
          </w:tcPr>
          <w:p w:rsidR="00684942" w:rsidRPr="00D14CCE" w:rsidRDefault="00684942" w:rsidP="00364ED2">
            <w:pPr>
              <w:rPr>
                <w:rFonts w:ascii="Arial" w:hAnsi="Arial" w:cs="Arial"/>
              </w:rPr>
            </w:pPr>
            <w:r w:rsidRPr="00D14CCE">
              <w:rPr>
                <w:rFonts w:ascii="Arial" w:hAnsi="Arial" w:cs="Arial"/>
              </w:rPr>
              <w:t>Basis of calculation</w:t>
            </w:r>
          </w:p>
        </w:tc>
        <w:tc>
          <w:tcPr>
            <w:tcW w:w="3073" w:type="pct"/>
          </w:tcPr>
          <w:p w:rsidR="00684942" w:rsidRPr="00D14CCE" w:rsidRDefault="00684942" w:rsidP="00364ED2">
            <w:pPr>
              <w:rPr>
                <w:rFonts w:ascii="Arial" w:hAnsi="Arial" w:cs="Arial"/>
              </w:rPr>
            </w:pPr>
            <w:r w:rsidRPr="00D14CCE">
              <w:rPr>
                <w:rFonts w:ascii="Arial" w:hAnsi="Arial" w:cs="Arial"/>
              </w:rPr>
              <w:t xml:space="preserve">Percentage of sheriff summary and justice of the peace cases disposed of within 26 weeks of date of earliest caution and charge for any accused in the case, by the month that case is first closed. “Disposal” is defined as the latest date of verdict for any accused in the case. </w:t>
            </w:r>
          </w:p>
          <w:p w:rsidR="00684942" w:rsidRPr="00D14CCE" w:rsidRDefault="00684942" w:rsidP="00364ED2">
            <w:pPr>
              <w:rPr>
                <w:rFonts w:ascii="Arial" w:hAnsi="Arial" w:cs="Arial"/>
                <w:sz w:val="16"/>
                <w:szCs w:val="16"/>
              </w:rPr>
            </w:pPr>
          </w:p>
        </w:tc>
      </w:tr>
      <w:tr w:rsidR="00684942" w:rsidRPr="00D40E65" w:rsidTr="00684942">
        <w:tc>
          <w:tcPr>
            <w:tcW w:w="1927" w:type="pct"/>
          </w:tcPr>
          <w:p w:rsidR="00684942" w:rsidRPr="00D14CCE" w:rsidRDefault="00684942" w:rsidP="00364ED2">
            <w:pPr>
              <w:rPr>
                <w:rFonts w:ascii="Arial" w:hAnsi="Arial" w:cs="Arial"/>
              </w:rPr>
            </w:pPr>
            <w:r w:rsidRPr="00D14CCE">
              <w:rPr>
                <w:rFonts w:ascii="Arial" w:hAnsi="Arial" w:cs="Arial"/>
              </w:rPr>
              <w:t>Performance thresholds for Red/Amber/Green</w:t>
            </w:r>
          </w:p>
        </w:tc>
        <w:tc>
          <w:tcPr>
            <w:tcW w:w="3073" w:type="pct"/>
          </w:tcPr>
          <w:p w:rsidR="00684942" w:rsidRPr="00D14CCE" w:rsidRDefault="00684942" w:rsidP="00364ED2">
            <w:pPr>
              <w:rPr>
                <w:rFonts w:ascii="Arial" w:hAnsi="Arial" w:cs="Arial"/>
              </w:rPr>
            </w:pPr>
            <w:r w:rsidRPr="00D14CCE">
              <w:rPr>
                <w:rFonts w:ascii="Arial" w:hAnsi="Arial" w:cs="Arial"/>
              </w:rPr>
              <w:t>Red &lt;67%</w:t>
            </w:r>
          </w:p>
          <w:p w:rsidR="00684942" w:rsidRPr="00D14CCE" w:rsidRDefault="00684942" w:rsidP="00364ED2">
            <w:pPr>
              <w:rPr>
                <w:rFonts w:ascii="Arial" w:hAnsi="Arial" w:cs="Arial"/>
              </w:rPr>
            </w:pPr>
            <w:r w:rsidRPr="00D14CCE">
              <w:rPr>
                <w:rFonts w:ascii="Arial" w:hAnsi="Arial" w:cs="Arial"/>
              </w:rPr>
              <w:t>Amber 67% - 72%</w:t>
            </w:r>
          </w:p>
          <w:p w:rsidR="00684942" w:rsidRPr="00D14CCE" w:rsidRDefault="00684942" w:rsidP="00364ED2">
            <w:pPr>
              <w:rPr>
                <w:rFonts w:ascii="Arial" w:hAnsi="Arial" w:cs="Arial"/>
              </w:rPr>
            </w:pPr>
            <w:r w:rsidRPr="00D14CCE">
              <w:rPr>
                <w:rFonts w:ascii="Arial" w:hAnsi="Arial" w:cs="Arial"/>
              </w:rPr>
              <w:t xml:space="preserve">Green &gt; 72% </w:t>
            </w:r>
          </w:p>
          <w:p w:rsidR="00684942" w:rsidRPr="00D14CCE" w:rsidRDefault="00684942" w:rsidP="00364ED2">
            <w:pPr>
              <w:rPr>
                <w:rFonts w:ascii="Arial" w:hAnsi="Arial" w:cs="Arial"/>
              </w:rPr>
            </w:pPr>
          </w:p>
        </w:tc>
      </w:tr>
      <w:tr w:rsidR="00684942" w:rsidRPr="00D40E65" w:rsidTr="00684942">
        <w:tc>
          <w:tcPr>
            <w:tcW w:w="1927" w:type="pct"/>
          </w:tcPr>
          <w:p w:rsidR="00684942" w:rsidRPr="00D14CCE" w:rsidRDefault="00684942" w:rsidP="00364ED2">
            <w:pPr>
              <w:rPr>
                <w:rFonts w:ascii="Arial" w:hAnsi="Arial" w:cs="Arial"/>
              </w:rPr>
            </w:pPr>
            <w:r w:rsidRPr="00D14CCE">
              <w:rPr>
                <w:rFonts w:ascii="Arial" w:hAnsi="Arial" w:cs="Arial"/>
              </w:rPr>
              <w:t>Frequency of Collection</w:t>
            </w:r>
          </w:p>
        </w:tc>
        <w:tc>
          <w:tcPr>
            <w:tcW w:w="3073" w:type="pct"/>
          </w:tcPr>
          <w:p w:rsidR="00684942" w:rsidRPr="00D14CCE" w:rsidRDefault="00684942" w:rsidP="00364ED2">
            <w:pPr>
              <w:rPr>
                <w:rFonts w:ascii="Arial" w:hAnsi="Arial" w:cs="Arial"/>
              </w:rPr>
            </w:pPr>
            <w:r w:rsidRPr="00D14CCE">
              <w:rPr>
                <w:rFonts w:ascii="Arial" w:hAnsi="Arial" w:cs="Arial"/>
              </w:rPr>
              <w:t>Monthly</w:t>
            </w:r>
          </w:p>
          <w:p w:rsidR="00D14CCE" w:rsidRPr="00D14CCE" w:rsidRDefault="00D14CCE" w:rsidP="00364ED2">
            <w:pPr>
              <w:rPr>
                <w:rFonts w:ascii="Arial" w:hAnsi="Arial" w:cs="Arial"/>
                <w:sz w:val="16"/>
                <w:szCs w:val="16"/>
              </w:rPr>
            </w:pPr>
          </w:p>
        </w:tc>
      </w:tr>
      <w:tr w:rsidR="00684942" w:rsidRPr="00D40E65" w:rsidTr="00684942">
        <w:tc>
          <w:tcPr>
            <w:tcW w:w="1927" w:type="pct"/>
          </w:tcPr>
          <w:p w:rsidR="00684942" w:rsidRPr="00D14CCE" w:rsidRDefault="00684942" w:rsidP="00364ED2">
            <w:pPr>
              <w:rPr>
                <w:rFonts w:ascii="Arial" w:hAnsi="Arial" w:cs="Arial"/>
              </w:rPr>
            </w:pPr>
            <w:r w:rsidRPr="00D14CCE">
              <w:rPr>
                <w:rFonts w:ascii="Arial" w:hAnsi="Arial" w:cs="Arial"/>
              </w:rPr>
              <w:t xml:space="preserve">Frequency of Reporting </w:t>
            </w:r>
          </w:p>
        </w:tc>
        <w:tc>
          <w:tcPr>
            <w:tcW w:w="3073" w:type="pct"/>
          </w:tcPr>
          <w:p w:rsidR="00684942" w:rsidRPr="00D14CCE" w:rsidRDefault="00684942" w:rsidP="00364ED2">
            <w:pPr>
              <w:rPr>
                <w:rFonts w:ascii="Arial" w:hAnsi="Arial" w:cs="Arial"/>
              </w:rPr>
            </w:pPr>
            <w:r w:rsidRPr="00D14CCE">
              <w:rPr>
                <w:rFonts w:ascii="Arial" w:hAnsi="Arial" w:cs="Arial"/>
              </w:rPr>
              <w:t>Quarterly</w:t>
            </w:r>
          </w:p>
          <w:p w:rsidR="00D14CCE" w:rsidRPr="00D14CCE" w:rsidRDefault="00D14CCE" w:rsidP="00364ED2">
            <w:pPr>
              <w:rPr>
                <w:rFonts w:ascii="Arial" w:hAnsi="Arial" w:cs="Arial"/>
                <w:sz w:val="16"/>
                <w:szCs w:val="16"/>
              </w:rPr>
            </w:pPr>
          </w:p>
        </w:tc>
      </w:tr>
      <w:tr w:rsidR="00684942" w:rsidRPr="00D40E65" w:rsidTr="00684942">
        <w:tc>
          <w:tcPr>
            <w:tcW w:w="1927" w:type="pct"/>
          </w:tcPr>
          <w:p w:rsidR="00684942" w:rsidRPr="00D14CCE" w:rsidRDefault="00684942" w:rsidP="00364ED2">
            <w:pPr>
              <w:rPr>
                <w:rFonts w:ascii="Arial" w:hAnsi="Arial" w:cs="Arial"/>
              </w:rPr>
            </w:pPr>
            <w:r w:rsidRPr="00D14CCE">
              <w:rPr>
                <w:rFonts w:ascii="Arial" w:hAnsi="Arial" w:cs="Arial"/>
              </w:rPr>
              <w:t>Other Comments</w:t>
            </w:r>
          </w:p>
        </w:tc>
        <w:tc>
          <w:tcPr>
            <w:tcW w:w="3073" w:type="pct"/>
          </w:tcPr>
          <w:p w:rsidR="00D14CCE" w:rsidRDefault="00462285" w:rsidP="00462285">
            <w:pPr>
              <w:rPr>
                <w:rFonts w:ascii="Arial" w:hAnsi="Arial" w:cs="Arial"/>
              </w:rPr>
            </w:pPr>
            <w:r>
              <w:rPr>
                <w:rFonts w:ascii="Arial" w:hAnsi="Arial" w:cs="Arial"/>
              </w:rPr>
              <w:t>This measure is the</w:t>
            </w:r>
            <w:r w:rsidR="00684942" w:rsidRPr="00D14CCE">
              <w:rPr>
                <w:rFonts w:ascii="Arial" w:hAnsi="Arial" w:cs="Arial"/>
              </w:rPr>
              <w:t xml:space="preserve"> key indicator of end to end justice system performance</w:t>
            </w:r>
            <w:r>
              <w:rPr>
                <w:rFonts w:ascii="Arial" w:hAnsi="Arial" w:cs="Arial"/>
              </w:rPr>
              <w:t xml:space="preserve"> used by the Scottish Government.  Whilst SCTS control over the measure is limited it </w:t>
            </w:r>
            <w:r w:rsidR="00684942" w:rsidRPr="00D14CCE">
              <w:rPr>
                <w:rFonts w:ascii="Arial" w:hAnsi="Arial" w:cs="Arial"/>
              </w:rPr>
              <w:t>remains a focus for Local Criminal Justice Boards and Government</w:t>
            </w:r>
            <w:r>
              <w:rPr>
                <w:rFonts w:ascii="Arial" w:hAnsi="Arial" w:cs="Arial"/>
              </w:rPr>
              <w:t xml:space="preserve"> nationally and is therefore included as a KPI on the Board Scorecard.</w:t>
            </w:r>
          </w:p>
          <w:p w:rsidR="00462285" w:rsidRPr="00D14CCE" w:rsidRDefault="00462285" w:rsidP="00462285">
            <w:pPr>
              <w:rPr>
                <w:rFonts w:ascii="Arial" w:hAnsi="Arial" w:cs="Arial"/>
              </w:rPr>
            </w:pPr>
          </w:p>
        </w:tc>
      </w:tr>
    </w:tbl>
    <w:p w:rsidR="00ED0E87" w:rsidRDefault="00ED0E87" w:rsidP="00ED0E87">
      <w:pPr>
        <w:rPr>
          <w:rFonts w:ascii="Arial" w:hAnsi="Arial" w:cs="Arial"/>
          <w:sz w:val="22"/>
          <w:szCs w:val="22"/>
        </w:rPr>
      </w:pPr>
    </w:p>
    <w:p w:rsidR="00D14CCE" w:rsidRDefault="00D14CCE" w:rsidP="00ED0E87">
      <w:pPr>
        <w:rPr>
          <w:rFonts w:ascii="Arial" w:hAnsi="Arial" w:cs="Arial"/>
          <w:sz w:val="22"/>
          <w:szCs w:val="22"/>
        </w:rPr>
        <w:sectPr w:rsidR="00D14CCE">
          <w:pgSz w:w="11906" w:h="16838"/>
          <w:pgMar w:top="1440" w:right="1800" w:bottom="1440" w:left="1800" w:header="708" w:footer="708" w:gutter="0"/>
          <w:cols w:space="708"/>
          <w:docGrid w:linePitch="360"/>
        </w:sectPr>
      </w:pPr>
    </w:p>
    <w:p w:rsidR="00615E3D" w:rsidRDefault="00615E3D"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560"/>
        <w:gridCol w:w="4587"/>
      </w:tblGrid>
      <w:tr w:rsidR="00A7392B" w:rsidRPr="00D40E65" w:rsidTr="00A144D1">
        <w:tc>
          <w:tcPr>
            <w:tcW w:w="1394" w:type="pct"/>
            <w:shd w:val="clear" w:color="auto" w:fill="0FC1A3"/>
          </w:tcPr>
          <w:p w:rsidR="00A7392B" w:rsidRDefault="00A7392B" w:rsidP="00A144D1">
            <w:pPr>
              <w:shd w:val="clear" w:color="auto" w:fill="0FC1A3"/>
              <w:rPr>
                <w:rFonts w:ascii="Arial" w:hAnsi="Arial" w:cs="Arial"/>
                <w:b/>
                <w:sz w:val="22"/>
                <w:szCs w:val="22"/>
              </w:rPr>
            </w:pPr>
            <w:r w:rsidRPr="00C919FE">
              <w:rPr>
                <w:rFonts w:ascii="Arial" w:hAnsi="Arial" w:cs="Arial"/>
                <w:b/>
                <w:szCs w:val="22"/>
                <w:shd w:val="clear" w:color="auto" w:fill="0FC1A3"/>
              </w:rPr>
              <w:t>Strategic Priority 3</w:t>
            </w:r>
          </w:p>
        </w:tc>
        <w:tc>
          <w:tcPr>
            <w:tcW w:w="3606" w:type="pct"/>
            <w:gridSpan w:val="2"/>
            <w:shd w:val="clear" w:color="auto" w:fill="0FC1A3"/>
          </w:tcPr>
          <w:p w:rsidR="00A7392B" w:rsidRDefault="00A7392B" w:rsidP="00A144D1">
            <w:pPr>
              <w:rPr>
                <w:rFonts w:ascii="Arial" w:hAnsi="Arial" w:cs="Arial"/>
                <w:b/>
                <w:szCs w:val="22"/>
              </w:rPr>
            </w:pPr>
            <w:r w:rsidRPr="00C919FE">
              <w:rPr>
                <w:rFonts w:ascii="Arial" w:hAnsi="Arial" w:cs="Arial"/>
                <w:b/>
                <w:szCs w:val="22"/>
                <w:shd w:val="clear" w:color="auto" w:fill="0FC1A3"/>
              </w:rPr>
              <w:t>Skilled, Engaged and Motivated</w:t>
            </w:r>
            <w:r w:rsidRPr="00940BCB">
              <w:rPr>
                <w:rFonts w:ascii="Arial" w:hAnsi="Arial" w:cs="Arial"/>
                <w:b/>
                <w:szCs w:val="22"/>
              </w:rPr>
              <w:t xml:space="preserve"> People</w:t>
            </w:r>
          </w:p>
          <w:p w:rsidR="00A7392B" w:rsidRPr="00D40E65" w:rsidRDefault="00A7392B" w:rsidP="00A144D1">
            <w:pPr>
              <w:rPr>
                <w:rFonts w:ascii="Arial" w:hAnsi="Arial" w:cs="Arial"/>
                <w:b/>
                <w:sz w:val="22"/>
                <w:szCs w:val="22"/>
              </w:rPr>
            </w:pPr>
          </w:p>
        </w:tc>
      </w:tr>
      <w:tr w:rsidR="00A7392B" w:rsidRPr="00D40E65" w:rsidTr="00A144D1">
        <w:tc>
          <w:tcPr>
            <w:tcW w:w="1394" w:type="pct"/>
          </w:tcPr>
          <w:p w:rsidR="00A7392B" w:rsidRPr="00B415F2" w:rsidRDefault="00A7392B" w:rsidP="00A144D1">
            <w:pPr>
              <w:rPr>
                <w:rFonts w:ascii="Arial" w:hAnsi="Arial" w:cs="Arial"/>
                <w:b/>
                <w:sz w:val="22"/>
                <w:szCs w:val="22"/>
              </w:rPr>
            </w:pPr>
            <w:r>
              <w:rPr>
                <w:rFonts w:ascii="Arial" w:hAnsi="Arial" w:cs="Arial"/>
                <w:b/>
                <w:sz w:val="22"/>
                <w:szCs w:val="22"/>
              </w:rPr>
              <w:t>Measure 3(a)</w:t>
            </w:r>
          </w:p>
        </w:tc>
        <w:tc>
          <w:tcPr>
            <w:tcW w:w="3606" w:type="pct"/>
            <w:gridSpan w:val="2"/>
          </w:tcPr>
          <w:p w:rsidR="00A7392B" w:rsidRDefault="00A7392B" w:rsidP="00A144D1">
            <w:pPr>
              <w:rPr>
                <w:rFonts w:ascii="Arial" w:hAnsi="Arial" w:cs="Arial"/>
                <w:b/>
                <w:sz w:val="22"/>
                <w:szCs w:val="22"/>
              </w:rPr>
            </w:pPr>
            <w:r>
              <w:rPr>
                <w:rFonts w:ascii="Arial" w:hAnsi="Arial" w:cs="Arial"/>
                <w:b/>
                <w:sz w:val="22"/>
                <w:szCs w:val="22"/>
              </w:rPr>
              <w:t>Employee E</w:t>
            </w:r>
            <w:r w:rsidRPr="00CE0319">
              <w:rPr>
                <w:rFonts w:ascii="Arial" w:hAnsi="Arial" w:cs="Arial"/>
                <w:b/>
                <w:sz w:val="22"/>
                <w:szCs w:val="22"/>
              </w:rPr>
              <w:t>ngagement</w:t>
            </w:r>
          </w:p>
          <w:p w:rsidR="00A7392B" w:rsidRPr="006B0691" w:rsidRDefault="00A7392B" w:rsidP="00A144D1">
            <w:pPr>
              <w:rPr>
                <w:rFonts w:ascii="Arial" w:hAnsi="Arial" w:cs="Arial"/>
                <w:b/>
                <w:sz w:val="22"/>
                <w:szCs w:val="22"/>
              </w:rPr>
            </w:pPr>
          </w:p>
        </w:tc>
      </w:tr>
      <w:tr w:rsidR="00A7392B" w:rsidRPr="00D40E65" w:rsidTr="00A144D1">
        <w:tc>
          <w:tcPr>
            <w:tcW w:w="1394" w:type="pct"/>
          </w:tcPr>
          <w:p w:rsidR="00A7392B" w:rsidRPr="00D40E65" w:rsidRDefault="00A7392B" w:rsidP="00A144D1">
            <w:pPr>
              <w:rPr>
                <w:rFonts w:ascii="Arial" w:hAnsi="Arial" w:cs="Arial"/>
                <w:sz w:val="22"/>
                <w:szCs w:val="22"/>
              </w:rPr>
            </w:pPr>
            <w:r w:rsidRPr="00D40E65">
              <w:rPr>
                <w:rFonts w:ascii="Arial" w:hAnsi="Arial" w:cs="Arial"/>
                <w:sz w:val="22"/>
                <w:szCs w:val="22"/>
              </w:rPr>
              <w:t>Description</w:t>
            </w:r>
            <w:r>
              <w:rPr>
                <w:rFonts w:ascii="Arial" w:hAnsi="Arial" w:cs="Arial"/>
                <w:sz w:val="22"/>
                <w:szCs w:val="22"/>
              </w:rPr>
              <w:t xml:space="preserve"> of Measure</w:t>
            </w:r>
          </w:p>
        </w:tc>
        <w:tc>
          <w:tcPr>
            <w:tcW w:w="3606" w:type="pct"/>
            <w:gridSpan w:val="2"/>
          </w:tcPr>
          <w:p w:rsidR="00A7392B" w:rsidRDefault="00A7392B" w:rsidP="00A144D1">
            <w:pPr>
              <w:rPr>
                <w:rFonts w:ascii="Arial" w:hAnsi="Arial" w:cs="Arial"/>
                <w:sz w:val="22"/>
                <w:szCs w:val="22"/>
              </w:rPr>
            </w:pPr>
            <w:r>
              <w:rPr>
                <w:rFonts w:ascii="Arial" w:hAnsi="Arial" w:cs="Arial"/>
                <w:sz w:val="22"/>
                <w:szCs w:val="22"/>
              </w:rPr>
              <w:t>Basket of indicators of engagement, including:</w:t>
            </w:r>
          </w:p>
          <w:p w:rsidR="00A7392B" w:rsidRDefault="00A7392B" w:rsidP="00A144D1">
            <w:pPr>
              <w:rPr>
                <w:rFonts w:ascii="Arial" w:hAnsi="Arial" w:cs="Arial"/>
                <w:sz w:val="22"/>
                <w:szCs w:val="22"/>
              </w:rPr>
            </w:pPr>
          </w:p>
          <w:p w:rsidR="00A7392B" w:rsidRPr="008E53C9" w:rsidRDefault="00A7392B" w:rsidP="00A7392B">
            <w:pPr>
              <w:numPr>
                <w:ilvl w:val="0"/>
                <w:numId w:val="17"/>
              </w:numPr>
              <w:rPr>
                <w:rFonts w:ascii="Arial" w:hAnsi="Arial" w:cs="Arial"/>
                <w:sz w:val="22"/>
                <w:szCs w:val="22"/>
              </w:rPr>
            </w:pPr>
            <w:r>
              <w:rPr>
                <w:rFonts w:ascii="Arial" w:hAnsi="Arial" w:cs="Arial"/>
                <w:sz w:val="22"/>
                <w:szCs w:val="22"/>
              </w:rPr>
              <w:t>Voluntary staff turnover levels</w:t>
            </w:r>
          </w:p>
          <w:p w:rsidR="00A7392B" w:rsidRDefault="00A7392B" w:rsidP="00A7392B">
            <w:pPr>
              <w:numPr>
                <w:ilvl w:val="0"/>
                <w:numId w:val="17"/>
              </w:numPr>
              <w:rPr>
                <w:rFonts w:ascii="Arial" w:hAnsi="Arial" w:cs="Arial"/>
                <w:sz w:val="22"/>
                <w:szCs w:val="22"/>
              </w:rPr>
            </w:pPr>
            <w:r>
              <w:rPr>
                <w:rFonts w:ascii="Arial" w:hAnsi="Arial" w:cs="Arial"/>
                <w:sz w:val="22"/>
                <w:szCs w:val="22"/>
              </w:rPr>
              <w:t>Short term absence rates</w:t>
            </w:r>
          </w:p>
          <w:p w:rsidR="00A7392B" w:rsidRPr="008E53C9" w:rsidRDefault="00A7392B" w:rsidP="00A7392B">
            <w:pPr>
              <w:numPr>
                <w:ilvl w:val="0"/>
                <w:numId w:val="17"/>
              </w:numPr>
              <w:rPr>
                <w:rFonts w:ascii="Arial" w:hAnsi="Arial" w:cs="Arial"/>
                <w:sz w:val="22"/>
                <w:szCs w:val="22"/>
              </w:rPr>
            </w:pPr>
            <w:r>
              <w:rPr>
                <w:rFonts w:ascii="Arial" w:hAnsi="Arial" w:cs="Arial"/>
                <w:sz w:val="22"/>
                <w:szCs w:val="22"/>
              </w:rPr>
              <w:t>Proportion of appraisals completed on time</w:t>
            </w:r>
          </w:p>
          <w:p w:rsidR="00A7392B" w:rsidRPr="008E53C9" w:rsidRDefault="00A7392B" w:rsidP="00A7392B">
            <w:pPr>
              <w:numPr>
                <w:ilvl w:val="0"/>
                <w:numId w:val="17"/>
              </w:numPr>
              <w:rPr>
                <w:rFonts w:ascii="Arial" w:hAnsi="Arial" w:cs="Arial"/>
                <w:sz w:val="22"/>
                <w:szCs w:val="22"/>
              </w:rPr>
            </w:pPr>
            <w:r w:rsidRPr="008E53C9">
              <w:rPr>
                <w:rFonts w:ascii="Arial" w:hAnsi="Arial" w:cs="Arial"/>
                <w:sz w:val="22"/>
                <w:szCs w:val="22"/>
              </w:rPr>
              <w:t>V</w:t>
            </w:r>
            <w:r>
              <w:rPr>
                <w:rFonts w:ascii="Arial" w:hAnsi="Arial" w:cs="Arial"/>
                <w:sz w:val="22"/>
                <w:szCs w:val="22"/>
              </w:rPr>
              <w:t>olumes of Complaints/Grievances</w:t>
            </w:r>
          </w:p>
          <w:p w:rsidR="00A7392B" w:rsidRPr="008E53C9" w:rsidRDefault="00A7392B" w:rsidP="00A7392B">
            <w:pPr>
              <w:numPr>
                <w:ilvl w:val="0"/>
                <w:numId w:val="17"/>
              </w:numPr>
              <w:rPr>
                <w:rFonts w:ascii="Arial" w:hAnsi="Arial" w:cs="Arial"/>
                <w:sz w:val="22"/>
                <w:szCs w:val="22"/>
              </w:rPr>
            </w:pPr>
            <w:r w:rsidRPr="008E53C9">
              <w:rPr>
                <w:rFonts w:ascii="Arial" w:hAnsi="Arial" w:cs="Arial"/>
                <w:sz w:val="22"/>
                <w:szCs w:val="22"/>
              </w:rPr>
              <w:t xml:space="preserve">Exit Interview </w:t>
            </w:r>
            <w:r>
              <w:rPr>
                <w:rFonts w:ascii="Arial" w:hAnsi="Arial" w:cs="Arial"/>
                <w:sz w:val="22"/>
                <w:szCs w:val="22"/>
              </w:rPr>
              <w:t>Data</w:t>
            </w:r>
          </w:p>
          <w:p w:rsidR="00A7392B" w:rsidRPr="008E53C9" w:rsidRDefault="00A7392B" w:rsidP="00A7392B">
            <w:pPr>
              <w:numPr>
                <w:ilvl w:val="0"/>
                <w:numId w:val="17"/>
              </w:numPr>
              <w:rPr>
                <w:rFonts w:ascii="Arial" w:hAnsi="Arial" w:cs="Arial"/>
                <w:sz w:val="22"/>
                <w:szCs w:val="22"/>
              </w:rPr>
            </w:pPr>
            <w:r w:rsidRPr="008E53C9">
              <w:rPr>
                <w:rFonts w:ascii="Arial" w:hAnsi="Arial" w:cs="Arial"/>
                <w:sz w:val="22"/>
                <w:szCs w:val="22"/>
              </w:rPr>
              <w:t>Annual Staff Survey Rating</w:t>
            </w:r>
          </w:p>
          <w:p w:rsidR="00A7392B" w:rsidRPr="00D40E65" w:rsidRDefault="00A7392B" w:rsidP="00A144D1">
            <w:pPr>
              <w:rPr>
                <w:rFonts w:ascii="Arial" w:hAnsi="Arial" w:cs="Arial"/>
                <w:sz w:val="22"/>
                <w:szCs w:val="22"/>
              </w:rPr>
            </w:pPr>
            <w:r w:rsidRPr="00D40E65">
              <w:rPr>
                <w:rFonts w:ascii="Arial" w:hAnsi="Arial" w:cs="Arial"/>
                <w:sz w:val="22"/>
                <w:szCs w:val="22"/>
              </w:rPr>
              <w:t xml:space="preserve"> </w:t>
            </w:r>
          </w:p>
        </w:tc>
      </w:tr>
      <w:tr w:rsidR="00A7392B" w:rsidRPr="00D40E65" w:rsidTr="00A144D1">
        <w:tc>
          <w:tcPr>
            <w:tcW w:w="1394" w:type="pct"/>
          </w:tcPr>
          <w:p w:rsidR="00A7392B" w:rsidRPr="00D40E65" w:rsidRDefault="00A7392B" w:rsidP="00A144D1">
            <w:pPr>
              <w:rPr>
                <w:rFonts w:ascii="Arial" w:hAnsi="Arial" w:cs="Arial"/>
                <w:sz w:val="22"/>
                <w:szCs w:val="22"/>
              </w:rPr>
            </w:pPr>
            <w:r w:rsidRPr="00D40E65">
              <w:rPr>
                <w:rFonts w:ascii="Arial" w:hAnsi="Arial" w:cs="Arial"/>
                <w:sz w:val="22"/>
                <w:szCs w:val="22"/>
              </w:rPr>
              <w:t>Purpose of Measure</w:t>
            </w:r>
          </w:p>
          <w:p w:rsidR="00A7392B" w:rsidRDefault="00A7392B" w:rsidP="00A144D1">
            <w:pPr>
              <w:rPr>
                <w:rFonts w:ascii="Arial" w:hAnsi="Arial" w:cs="Arial"/>
                <w:sz w:val="22"/>
                <w:szCs w:val="22"/>
              </w:rPr>
            </w:pPr>
          </w:p>
          <w:p w:rsidR="00A7392B" w:rsidRPr="00D40E65" w:rsidRDefault="00A7392B" w:rsidP="00A144D1">
            <w:pPr>
              <w:rPr>
                <w:rFonts w:ascii="Arial" w:hAnsi="Arial" w:cs="Arial"/>
                <w:sz w:val="22"/>
                <w:szCs w:val="22"/>
              </w:rPr>
            </w:pPr>
          </w:p>
        </w:tc>
        <w:tc>
          <w:tcPr>
            <w:tcW w:w="3606" w:type="pct"/>
            <w:gridSpan w:val="2"/>
          </w:tcPr>
          <w:p w:rsidR="00A7392B" w:rsidRDefault="00A7392B" w:rsidP="00A144D1">
            <w:pPr>
              <w:tabs>
                <w:tab w:val="num" w:pos="567"/>
              </w:tabs>
              <w:rPr>
                <w:rFonts w:ascii="Arial" w:hAnsi="Arial" w:cs="Arial"/>
                <w:sz w:val="22"/>
                <w:szCs w:val="22"/>
              </w:rPr>
            </w:pPr>
            <w:r>
              <w:rPr>
                <w:rFonts w:ascii="Arial" w:hAnsi="Arial" w:cs="Arial"/>
                <w:sz w:val="22"/>
                <w:szCs w:val="22"/>
              </w:rPr>
              <w:t>N</w:t>
            </w:r>
            <w:r w:rsidRPr="008E53C9">
              <w:rPr>
                <w:rFonts w:ascii="Arial" w:hAnsi="Arial" w:cs="Arial"/>
                <w:sz w:val="22"/>
                <w:szCs w:val="22"/>
              </w:rPr>
              <w:t xml:space="preserve">o one measure </w:t>
            </w:r>
            <w:r>
              <w:rPr>
                <w:rFonts w:ascii="Arial" w:hAnsi="Arial" w:cs="Arial"/>
                <w:sz w:val="22"/>
                <w:szCs w:val="22"/>
              </w:rPr>
              <w:t>can</w:t>
            </w:r>
            <w:r w:rsidRPr="008E53C9">
              <w:rPr>
                <w:rFonts w:ascii="Arial" w:hAnsi="Arial" w:cs="Arial"/>
                <w:sz w:val="22"/>
                <w:szCs w:val="22"/>
              </w:rPr>
              <w:t xml:space="preserve"> give a true reflection of how employee engagement stands</w:t>
            </w:r>
            <w:r>
              <w:rPr>
                <w:rFonts w:ascii="Arial" w:hAnsi="Arial" w:cs="Arial"/>
                <w:sz w:val="22"/>
                <w:szCs w:val="22"/>
              </w:rPr>
              <w:t xml:space="preserve"> so this indicator</w:t>
            </w:r>
            <w:r w:rsidRPr="008E53C9">
              <w:rPr>
                <w:rFonts w:ascii="Arial" w:hAnsi="Arial" w:cs="Arial"/>
                <w:sz w:val="22"/>
                <w:szCs w:val="22"/>
              </w:rPr>
              <w:t xml:space="preserve"> seeks to balance the data received in surveys </w:t>
            </w:r>
            <w:r>
              <w:rPr>
                <w:rFonts w:ascii="Arial" w:hAnsi="Arial" w:cs="Arial"/>
                <w:sz w:val="22"/>
                <w:szCs w:val="22"/>
              </w:rPr>
              <w:t>(</w:t>
            </w:r>
            <w:r w:rsidRPr="008E53C9">
              <w:rPr>
                <w:rFonts w:ascii="Arial" w:hAnsi="Arial" w:cs="Arial"/>
                <w:sz w:val="22"/>
                <w:szCs w:val="22"/>
              </w:rPr>
              <w:t>based on what people say</w:t>
            </w:r>
            <w:r>
              <w:rPr>
                <w:rFonts w:ascii="Arial" w:hAnsi="Arial" w:cs="Arial"/>
                <w:sz w:val="22"/>
                <w:szCs w:val="22"/>
              </w:rPr>
              <w:t>)</w:t>
            </w:r>
            <w:r w:rsidRPr="008E53C9">
              <w:rPr>
                <w:rFonts w:ascii="Arial" w:hAnsi="Arial" w:cs="Arial"/>
                <w:sz w:val="22"/>
                <w:szCs w:val="22"/>
              </w:rPr>
              <w:t xml:space="preserve"> </w:t>
            </w:r>
            <w:r>
              <w:rPr>
                <w:rFonts w:ascii="Arial" w:hAnsi="Arial" w:cs="Arial"/>
                <w:sz w:val="22"/>
                <w:szCs w:val="22"/>
              </w:rPr>
              <w:t>with</w:t>
            </w:r>
            <w:r w:rsidRPr="008E53C9">
              <w:rPr>
                <w:rFonts w:ascii="Arial" w:hAnsi="Arial" w:cs="Arial"/>
                <w:sz w:val="22"/>
                <w:szCs w:val="22"/>
              </w:rPr>
              <w:t xml:space="preserve"> what people </w:t>
            </w:r>
            <w:r>
              <w:rPr>
                <w:rFonts w:ascii="Arial" w:hAnsi="Arial" w:cs="Arial"/>
                <w:sz w:val="22"/>
                <w:szCs w:val="22"/>
              </w:rPr>
              <w:t xml:space="preserve">actually </w:t>
            </w:r>
            <w:r w:rsidRPr="008E53C9">
              <w:rPr>
                <w:rFonts w:ascii="Arial" w:hAnsi="Arial" w:cs="Arial"/>
                <w:sz w:val="22"/>
                <w:szCs w:val="22"/>
              </w:rPr>
              <w:t>do.</w:t>
            </w:r>
          </w:p>
          <w:p w:rsidR="00A7392B" w:rsidRDefault="00A7392B" w:rsidP="00A144D1">
            <w:pPr>
              <w:tabs>
                <w:tab w:val="num" w:pos="567"/>
              </w:tabs>
              <w:rPr>
                <w:rFonts w:ascii="Arial" w:hAnsi="Arial" w:cs="Arial"/>
                <w:sz w:val="22"/>
                <w:szCs w:val="22"/>
              </w:rPr>
            </w:pPr>
          </w:p>
          <w:p w:rsidR="00A7392B" w:rsidRDefault="00A7392B" w:rsidP="00A144D1">
            <w:pPr>
              <w:tabs>
                <w:tab w:val="num" w:pos="567"/>
              </w:tabs>
              <w:rPr>
                <w:rFonts w:ascii="Arial" w:hAnsi="Arial" w:cs="Arial"/>
                <w:sz w:val="22"/>
                <w:szCs w:val="22"/>
              </w:rPr>
            </w:pPr>
            <w:r>
              <w:rPr>
                <w:rFonts w:ascii="Arial" w:hAnsi="Arial" w:cs="Arial"/>
                <w:sz w:val="22"/>
                <w:szCs w:val="22"/>
              </w:rPr>
              <w:t>Motivation leading to staff retention is a key driver of our ability to offer good customer service and technical competence. High staff turnover and absence also adds to training and recruitment costs and increases the risk of service failure.</w:t>
            </w:r>
          </w:p>
          <w:p w:rsidR="00A7392B" w:rsidRDefault="00A7392B" w:rsidP="00A144D1">
            <w:pPr>
              <w:tabs>
                <w:tab w:val="num" w:pos="567"/>
              </w:tabs>
              <w:rPr>
                <w:rFonts w:ascii="Arial" w:hAnsi="Arial" w:cs="Arial"/>
                <w:sz w:val="22"/>
                <w:szCs w:val="22"/>
              </w:rPr>
            </w:pPr>
          </w:p>
          <w:p w:rsidR="00A7392B" w:rsidRPr="008E53C9" w:rsidRDefault="00A7392B" w:rsidP="00A144D1">
            <w:pPr>
              <w:tabs>
                <w:tab w:val="num" w:pos="567"/>
              </w:tabs>
              <w:rPr>
                <w:rFonts w:ascii="Arial" w:hAnsi="Arial" w:cs="Arial"/>
                <w:sz w:val="22"/>
                <w:szCs w:val="22"/>
              </w:rPr>
            </w:pPr>
            <w:r>
              <w:rPr>
                <w:rFonts w:ascii="Arial" w:hAnsi="Arial" w:cs="Arial"/>
                <w:sz w:val="22"/>
                <w:szCs w:val="22"/>
              </w:rPr>
              <w:t>Management activity to improve areas such as staff engagement needs to be balanced against wider policies such as pay restraint and changes to pension arrangements, which may impact upon levels of engagement.</w:t>
            </w:r>
          </w:p>
          <w:p w:rsidR="00A7392B" w:rsidRPr="00D40E65" w:rsidRDefault="00A7392B" w:rsidP="00A144D1">
            <w:pPr>
              <w:rPr>
                <w:rFonts w:ascii="Arial" w:hAnsi="Arial" w:cs="Arial"/>
                <w:sz w:val="22"/>
                <w:szCs w:val="22"/>
              </w:rPr>
            </w:pPr>
          </w:p>
        </w:tc>
      </w:tr>
      <w:tr w:rsidR="00A7392B" w:rsidRPr="00D40E65" w:rsidTr="00A144D1">
        <w:tc>
          <w:tcPr>
            <w:tcW w:w="1394" w:type="pct"/>
          </w:tcPr>
          <w:p w:rsidR="00A7392B" w:rsidRPr="00D40E65" w:rsidRDefault="00A7392B" w:rsidP="00A144D1">
            <w:pPr>
              <w:rPr>
                <w:rFonts w:ascii="Arial" w:hAnsi="Arial" w:cs="Arial"/>
                <w:sz w:val="22"/>
                <w:szCs w:val="22"/>
              </w:rPr>
            </w:pPr>
            <w:r w:rsidRPr="00D40E65">
              <w:rPr>
                <w:rFonts w:ascii="Arial" w:hAnsi="Arial" w:cs="Arial"/>
                <w:sz w:val="22"/>
                <w:szCs w:val="22"/>
              </w:rPr>
              <w:t>Measure Owner</w:t>
            </w:r>
          </w:p>
        </w:tc>
        <w:tc>
          <w:tcPr>
            <w:tcW w:w="3606" w:type="pct"/>
            <w:gridSpan w:val="2"/>
          </w:tcPr>
          <w:p w:rsidR="00A7392B" w:rsidRDefault="00A7392B" w:rsidP="00A144D1">
            <w:pPr>
              <w:rPr>
                <w:rFonts w:ascii="Arial" w:hAnsi="Arial" w:cs="Arial"/>
                <w:sz w:val="22"/>
                <w:szCs w:val="22"/>
              </w:rPr>
            </w:pPr>
            <w:r w:rsidRPr="00D40E65">
              <w:rPr>
                <w:rFonts w:ascii="Arial" w:hAnsi="Arial" w:cs="Arial"/>
                <w:sz w:val="22"/>
                <w:szCs w:val="22"/>
              </w:rPr>
              <w:t>Director HR</w:t>
            </w:r>
          </w:p>
          <w:p w:rsidR="00A7392B" w:rsidRPr="00D40E65" w:rsidRDefault="00A7392B" w:rsidP="00A144D1">
            <w:pPr>
              <w:rPr>
                <w:rFonts w:ascii="Arial" w:hAnsi="Arial" w:cs="Arial"/>
                <w:sz w:val="22"/>
                <w:szCs w:val="22"/>
              </w:rPr>
            </w:pPr>
          </w:p>
        </w:tc>
      </w:tr>
      <w:tr w:rsidR="00A7392B" w:rsidRPr="00D40E65" w:rsidTr="00A144D1">
        <w:tc>
          <w:tcPr>
            <w:tcW w:w="1394" w:type="pct"/>
          </w:tcPr>
          <w:p w:rsidR="00A7392B" w:rsidRPr="00D40E65" w:rsidRDefault="00A7392B" w:rsidP="00A144D1">
            <w:pPr>
              <w:rPr>
                <w:rFonts w:ascii="Arial" w:hAnsi="Arial" w:cs="Arial"/>
                <w:sz w:val="22"/>
                <w:szCs w:val="22"/>
              </w:rPr>
            </w:pPr>
            <w:r w:rsidRPr="00D40E65">
              <w:rPr>
                <w:rFonts w:ascii="Arial" w:hAnsi="Arial" w:cs="Arial"/>
                <w:sz w:val="22"/>
                <w:szCs w:val="22"/>
              </w:rPr>
              <w:t>Source of the data</w:t>
            </w:r>
          </w:p>
        </w:tc>
        <w:tc>
          <w:tcPr>
            <w:tcW w:w="3606" w:type="pct"/>
            <w:gridSpan w:val="2"/>
          </w:tcPr>
          <w:p w:rsidR="00A7392B" w:rsidRDefault="00A7392B" w:rsidP="00A144D1">
            <w:pPr>
              <w:rPr>
                <w:rFonts w:ascii="Arial" w:hAnsi="Arial" w:cs="Arial"/>
                <w:sz w:val="22"/>
                <w:szCs w:val="22"/>
              </w:rPr>
            </w:pPr>
            <w:r>
              <w:rPr>
                <w:rFonts w:ascii="Arial" w:hAnsi="Arial" w:cs="Arial"/>
                <w:sz w:val="22"/>
                <w:szCs w:val="22"/>
              </w:rPr>
              <w:t>R</w:t>
            </w:r>
            <w:r w:rsidRPr="00D40E65">
              <w:rPr>
                <w:rFonts w:ascii="Arial" w:hAnsi="Arial" w:cs="Arial"/>
                <w:sz w:val="22"/>
                <w:szCs w:val="22"/>
              </w:rPr>
              <w:t xml:space="preserve">eturns to HR </w:t>
            </w:r>
            <w:r>
              <w:rPr>
                <w:rFonts w:ascii="Arial" w:hAnsi="Arial" w:cs="Arial"/>
                <w:sz w:val="22"/>
                <w:szCs w:val="22"/>
              </w:rPr>
              <w:t>through</w:t>
            </w:r>
            <w:r w:rsidRPr="00D40E65">
              <w:rPr>
                <w:rFonts w:ascii="Arial" w:hAnsi="Arial" w:cs="Arial"/>
                <w:sz w:val="22"/>
                <w:szCs w:val="22"/>
              </w:rPr>
              <w:t xml:space="preserve"> Mitre Finch time recording system</w:t>
            </w:r>
            <w:r>
              <w:rPr>
                <w:rFonts w:ascii="Arial" w:hAnsi="Arial" w:cs="Arial"/>
                <w:sz w:val="22"/>
                <w:szCs w:val="22"/>
              </w:rPr>
              <w:t>, complaints and grievance monitoring and surveys of various descriptions</w:t>
            </w:r>
          </w:p>
          <w:p w:rsidR="00A7392B" w:rsidRPr="00D40E65" w:rsidRDefault="00A7392B" w:rsidP="00A144D1">
            <w:pPr>
              <w:rPr>
                <w:rFonts w:ascii="Arial" w:hAnsi="Arial" w:cs="Arial"/>
                <w:sz w:val="22"/>
                <w:szCs w:val="22"/>
              </w:rPr>
            </w:pPr>
          </w:p>
        </w:tc>
      </w:tr>
      <w:tr w:rsidR="00A7392B" w:rsidRPr="00D40E65" w:rsidTr="00A144D1">
        <w:trPr>
          <w:trHeight w:val="51"/>
        </w:trPr>
        <w:tc>
          <w:tcPr>
            <w:tcW w:w="1394" w:type="pct"/>
            <w:vMerge w:val="restart"/>
          </w:tcPr>
          <w:p w:rsidR="00A7392B" w:rsidRPr="00D40E65" w:rsidRDefault="00A7392B" w:rsidP="00A144D1">
            <w:pPr>
              <w:rPr>
                <w:rFonts w:ascii="Arial" w:hAnsi="Arial" w:cs="Arial"/>
                <w:sz w:val="22"/>
                <w:szCs w:val="22"/>
              </w:rPr>
            </w:pPr>
            <w:r w:rsidRPr="00D40E65">
              <w:rPr>
                <w:rFonts w:ascii="Arial" w:hAnsi="Arial" w:cs="Arial"/>
                <w:sz w:val="22"/>
                <w:szCs w:val="22"/>
              </w:rPr>
              <w:t>Basis of calculation</w:t>
            </w:r>
            <w:r>
              <w:rPr>
                <w:rFonts w:ascii="Arial" w:hAnsi="Arial" w:cs="Arial"/>
                <w:sz w:val="22"/>
                <w:szCs w:val="22"/>
              </w:rPr>
              <w:t xml:space="preserve"> </w:t>
            </w:r>
          </w:p>
        </w:tc>
        <w:tc>
          <w:tcPr>
            <w:tcW w:w="915" w:type="pct"/>
          </w:tcPr>
          <w:p w:rsidR="00A7392B" w:rsidRPr="00253ECB" w:rsidRDefault="00A7392B" w:rsidP="00A144D1">
            <w:pPr>
              <w:rPr>
                <w:rFonts w:ascii="Arial" w:hAnsi="Arial" w:cs="Arial"/>
                <w:sz w:val="22"/>
                <w:szCs w:val="22"/>
              </w:rPr>
            </w:pPr>
            <w:r w:rsidRPr="00253ECB">
              <w:rPr>
                <w:rFonts w:ascii="Arial" w:hAnsi="Arial" w:cs="Arial"/>
                <w:sz w:val="22"/>
                <w:szCs w:val="22"/>
              </w:rPr>
              <w:t>Voluntary staff turnover</w:t>
            </w:r>
          </w:p>
        </w:tc>
        <w:tc>
          <w:tcPr>
            <w:tcW w:w="2691" w:type="pct"/>
          </w:tcPr>
          <w:p w:rsidR="00A7392B" w:rsidRDefault="00A7392B" w:rsidP="00A144D1">
            <w:pPr>
              <w:rPr>
                <w:rFonts w:ascii="Arial" w:hAnsi="Arial" w:cs="Arial"/>
                <w:sz w:val="22"/>
                <w:szCs w:val="22"/>
              </w:rPr>
            </w:pPr>
            <w:r w:rsidRPr="00994785">
              <w:rPr>
                <w:rFonts w:ascii="Arial" w:hAnsi="Arial" w:cs="Arial"/>
                <w:sz w:val="22"/>
                <w:szCs w:val="22"/>
              </w:rPr>
              <w:t>Voluntary leavers are those who have left to join other parts of the civil service, or other organisations, or have simply resigned</w:t>
            </w:r>
            <w:r>
              <w:rPr>
                <w:rFonts w:ascii="Arial" w:hAnsi="Arial" w:cs="Arial"/>
                <w:sz w:val="22"/>
                <w:szCs w:val="22"/>
              </w:rPr>
              <w:t xml:space="preserve"> as a percentage of overall staff complement</w:t>
            </w:r>
            <w:r w:rsidRPr="00994785">
              <w:rPr>
                <w:rFonts w:ascii="Arial" w:hAnsi="Arial" w:cs="Arial"/>
                <w:sz w:val="22"/>
                <w:szCs w:val="22"/>
              </w:rPr>
              <w:t xml:space="preserve">.  </w:t>
            </w:r>
            <w:proofErr w:type="spellStart"/>
            <w:r w:rsidRPr="00994785">
              <w:rPr>
                <w:rFonts w:ascii="Arial" w:hAnsi="Arial" w:cs="Arial"/>
                <w:sz w:val="22"/>
                <w:szCs w:val="22"/>
              </w:rPr>
              <w:t>Retirals</w:t>
            </w:r>
            <w:proofErr w:type="spellEnd"/>
            <w:r w:rsidRPr="00994785">
              <w:rPr>
                <w:rFonts w:ascii="Arial" w:hAnsi="Arial" w:cs="Arial"/>
                <w:sz w:val="22"/>
                <w:szCs w:val="22"/>
              </w:rPr>
              <w:t>, dismissals etc</w:t>
            </w:r>
            <w:r>
              <w:rPr>
                <w:rFonts w:ascii="Arial" w:hAnsi="Arial" w:cs="Arial"/>
                <w:sz w:val="22"/>
                <w:szCs w:val="22"/>
              </w:rPr>
              <w:t>.</w:t>
            </w:r>
            <w:r w:rsidRPr="00994785">
              <w:rPr>
                <w:rFonts w:ascii="Arial" w:hAnsi="Arial" w:cs="Arial"/>
                <w:sz w:val="22"/>
                <w:szCs w:val="22"/>
              </w:rPr>
              <w:t xml:space="preserve"> are not counted as voluntary. The data is provided quarterly</w:t>
            </w:r>
            <w:r>
              <w:rPr>
                <w:rFonts w:ascii="Arial" w:hAnsi="Arial" w:cs="Arial"/>
                <w:sz w:val="22"/>
                <w:szCs w:val="22"/>
              </w:rPr>
              <w:t>.</w:t>
            </w:r>
          </w:p>
          <w:p w:rsidR="00A7392B" w:rsidRDefault="00A7392B" w:rsidP="00A144D1">
            <w:pPr>
              <w:rPr>
                <w:rFonts w:ascii="Arial" w:hAnsi="Arial" w:cs="Arial"/>
                <w:sz w:val="22"/>
                <w:szCs w:val="22"/>
              </w:rPr>
            </w:pPr>
          </w:p>
          <w:p w:rsidR="00A7392B" w:rsidRPr="00717390" w:rsidRDefault="00A7392B" w:rsidP="00A144D1">
            <w:pPr>
              <w:rPr>
                <w:rFonts w:ascii="Arial" w:hAnsi="Arial" w:cs="Arial"/>
                <w:sz w:val="22"/>
                <w:szCs w:val="22"/>
              </w:rPr>
            </w:pPr>
            <w:r w:rsidRPr="00717390">
              <w:rPr>
                <w:rFonts w:ascii="Arial" w:hAnsi="Arial" w:cs="Arial"/>
                <w:sz w:val="22"/>
                <w:szCs w:val="22"/>
              </w:rPr>
              <w:t>Green Less than 4%</w:t>
            </w:r>
            <w:r>
              <w:rPr>
                <w:rFonts w:ascii="Arial" w:hAnsi="Arial" w:cs="Arial"/>
                <w:sz w:val="22"/>
                <w:szCs w:val="22"/>
              </w:rPr>
              <w:t xml:space="preserve"> annualised</w:t>
            </w:r>
          </w:p>
          <w:p w:rsidR="00A7392B" w:rsidRDefault="00A7392B" w:rsidP="00A144D1">
            <w:pPr>
              <w:rPr>
                <w:rFonts w:ascii="Arial" w:hAnsi="Arial" w:cs="Arial"/>
                <w:sz w:val="22"/>
                <w:szCs w:val="22"/>
              </w:rPr>
            </w:pPr>
            <w:r w:rsidRPr="00717390">
              <w:rPr>
                <w:rFonts w:ascii="Arial" w:hAnsi="Arial" w:cs="Arial"/>
                <w:sz w:val="22"/>
                <w:szCs w:val="22"/>
              </w:rPr>
              <w:t>Amber: 4-7%</w:t>
            </w:r>
            <w:r>
              <w:rPr>
                <w:rFonts w:ascii="Arial" w:hAnsi="Arial" w:cs="Arial"/>
                <w:sz w:val="22"/>
                <w:szCs w:val="22"/>
              </w:rPr>
              <w:t xml:space="preserve"> annualised</w:t>
            </w:r>
          </w:p>
          <w:p w:rsidR="00A7392B" w:rsidRPr="00717390" w:rsidRDefault="00A7392B" w:rsidP="00A144D1">
            <w:pPr>
              <w:rPr>
                <w:rFonts w:ascii="Arial" w:hAnsi="Arial" w:cs="Arial"/>
                <w:sz w:val="22"/>
                <w:szCs w:val="22"/>
              </w:rPr>
            </w:pPr>
            <w:r w:rsidRPr="00717390">
              <w:rPr>
                <w:rFonts w:ascii="Arial" w:hAnsi="Arial" w:cs="Arial"/>
                <w:sz w:val="22"/>
                <w:szCs w:val="22"/>
              </w:rPr>
              <w:t>Red: More than 7%</w:t>
            </w:r>
            <w:r>
              <w:rPr>
                <w:rFonts w:ascii="Arial" w:hAnsi="Arial" w:cs="Arial"/>
                <w:sz w:val="22"/>
                <w:szCs w:val="22"/>
              </w:rPr>
              <w:t xml:space="preserve"> annualised</w:t>
            </w:r>
          </w:p>
          <w:p w:rsidR="00A7392B" w:rsidRDefault="00A7392B" w:rsidP="00A144D1">
            <w:pPr>
              <w:rPr>
                <w:rFonts w:ascii="Arial" w:hAnsi="Arial" w:cs="Arial"/>
                <w:sz w:val="22"/>
                <w:szCs w:val="22"/>
              </w:rPr>
            </w:pPr>
          </w:p>
          <w:p w:rsidR="00A7392B" w:rsidRPr="00717390" w:rsidRDefault="00A7392B" w:rsidP="00A144D1">
            <w:pPr>
              <w:rPr>
                <w:rFonts w:ascii="Arial" w:hAnsi="Arial" w:cs="Arial"/>
                <w:sz w:val="22"/>
                <w:szCs w:val="22"/>
              </w:rPr>
            </w:pPr>
          </w:p>
          <w:p w:rsidR="00A7392B" w:rsidRPr="00994785" w:rsidRDefault="00A7392B" w:rsidP="00A144D1">
            <w:pPr>
              <w:rPr>
                <w:rFonts w:ascii="Arial" w:hAnsi="Arial" w:cs="Arial"/>
                <w:sz w:val="22"/>
                <w:szCs w:val="22"/>
              </w:rPr>
            </w:pPr>
          </w:p>
        </w:tc>
      </w:tr>
      <w:tr w:rsidR="00A7392B" w:rsidRPr="00D40E65" w:rsidTr="00A144D1">
        <w:trPr>
          <w:trHeight w:val="51"/>
        </w:trPr>
        <w:tc>
          <w:tcPr>
            <w:tcW w:w="1394" w:type="pct"/>
            <w:vMerge/>
          </w:tcPr>
          <w:p w:rsidR="00A7392B" w:rsidRPr="00D40E65" w:rsidRDefault="00A7392B" w:rsidP="00A144D1">
            <w:pPr>
              <w:rPr>
                <w:rFonts w:ascii="Arial" w:hAnsi="Arial" w:cs="Arial"/>
                <w:sz w:val="22"/>
                <w:szCs w:val="22"/>
              </w:rPr>
            </w:pPr>
          </w:p>
        </w:tc>
        <w:tc>
          <w:tcPr>
            <w:tcW w:w="915" w:type="pct"/>
          </w:tcPr>
          <w:p w:rsidR="00A7392B" w:rsidRPr="00253ECB" w:rsidRDefault="00A7392B" w:rsidP="00A144D1">
            <w:pPr>
              <w:rPr>
                <w:rFonts w:ascii="Arial" w:hAnsi="Arial" w:cs="Arial"/>
                <w:sz w:val="22"/>
                <w:szCs w:val="22"/>
              </w:rPr>
            </w:pPr>
            <w:r w:rsidRPr="00253ECB">
              <w:rPr>
                <w:rFonts w:ascii="Arial" w:hAnsi="Arial" w:cs="Arial"/>
                <w:sz w:val="22"/>
                <w:szCs w:val="22"/>
              </w:rPr>
              <w:t>Short term absence;</w:t>
            </w:r>
          </w:p>
        </w:tc>
        <w:tc>
          <w:tcPr>
            <w:tcW w:w="2691" w:type="pct"/>
          </w:tcPr>
          <w:p w:rsidR="00A7392B" w:rsidRDefault="00A7392B" w:rsidP="00A144D1">
            <w:pPr>
              <w:rPr>
                <w:rFonts w:ascii="Arial" w:hAnsi="Arial" w:cs="Arial"/>
                <w:sz w:val="22"/>
                <w:szCs w:val="22"/>
              </w:rPr>
            </w:pPr>
            <w:r w:rsidRPr="00D40E65">
              <w:rPr>
                <w:rFonts w:ascii="Arial" w:hAnsi="Arial" w:cs="Arial"/>
                <w:sz w:val="22"/>
                <w:szCs w:val="22"/>
              </w:rPr>
              <w:t>Average calendar days lost to short term absence</w:t>
            </w:r>
            <w:r>
              <w:rPr>
                <w:rFonts w:ascii="Arial" w:hAnsi="Arial" w:cs="Arial"/>
                <w:sz w:val="22"/>
                <w:szCs w:val="22"/>
              </w:rPr>
              <w:t xml:space="preserve"> (less than 28 days)</w:t>
            </w:r>
            <w:r w:rsidRPr="00D40E65">
              <w:rPr>
                <w:rFonts w:ascii="Arial" w:hAnsi="Arial" w:cs="Arial"/>
                <w:sz w:val="22"/>
                <w:szCs w:val="22"/>
              </w:rPr>
              <w:t xml:space="preserve"> per full time equivalent staff member, annualised</w:t>
            </w:r>
            <w:r>
              <w:rPr>
                <w:rFonts w:ascii="Arial" w:hAnsi="Arial" w:cs="Arial"/>
                <w:sz w:val="22"/>
                <w:szCs w:val="22"/>
              </w:rPr>
              <w:t xml:space="preserve">. </w:t>
            </w:r>
            <w:r w:rsidRPr="00994785">
              <w:rPr>
                <w:rFonts w:ascii="Arial" w:hAnsi="Arial" w:cs="Arial"/>
                <w:sz w:val="22"/>
                <w:szCs w:val="22"/>
              </w:rPr>
              <w:t>The data is provided quarterly</w:t>
            </w:r>
            <w:r>
              <w:rPr>
                <w:rFonts w:ascii="Arial" w:hAnsi="Arial" w:cs="Arial"/>
                <w:sz w:val="22"/>
                <w:szCs w:val="22"/>
              </w:rPr>
              <w:t>.</w:t>
            </w:r>
          </w:p>
          <w:p w:rsidR="00A7392B" w:rsidRDefault="00A7392B" w:rsidP="00A144D1">
            <w:pPr>
              <w:rPr>
                <w:rFonts w:ascii="Arial" w:hAnsi="Arial" w:cs="Arial"/>
                <w:sz w:val="22"/>
                <w:szCs w:val="22"/>
              </w:rPr>
            </w:pPr>
          </w:p>
          <w:p w:rsidR="00A7392B" w:rsidRPr="00F951AA" w:rsidRDefault="00A7392B" w:rsidP="00A144D1">
            <w:pPr>
              <w:rPr>
                <w:rFonts w:ascii="Arial" w:hAnsi="Arial" w:cs="Arial"/>
                <w:sz w:val="22"/>
                <w:szCs w:val="22"/>
              </w:rPr>
            </w:pPr>
            <w:r w:rsidRPr="00F951AA">
              <w:rPr>
                <w:rFonts w:ascii="Arial" w:hAnsi="Arial" w:cs="Arial"/>
                <w:sz w:val="22"/>
                <w:szCs w:val="22"/>
              </w:rPr>
              <w:lastRenderedPageBreak/>
              <w:t>Green Less than 4.5 days</w:t>
            </w:r>
          </w:p>
          <w:p w:rsidR="00A7392B" w:rsidRPr="00F951AA" w:rsidRDefault="00A7392B" w:rsidP="00A144D1">
            <w:pPr>
              <w:rPr>
                <w:rFonts w:ascii="Arial" w:hAnsi="Arial" w:cs="Arial"/>
                <w:sz w:val="22"/>
                <w:szCs w:val="22"/>
              </w:rPr>
            </w:pPr>
            <w:r w:rsidRPr="00F951AA">
              <w:rPr>
                <w:rFonts w:ascii="Arial" w:hAnsi="Arial" w:cs="Arial"/>
                <w:sz w:val="22"/>
                <w:szCs w:val="22"/>
              </w:rPr>
              <w:t>Amber: 4.5 -5.5 days</w:t>
            </w:r>
          </w:p>
          <w:p w:rsidR="00A7392B" w:rsidRDefault="00A7392B" w:rsidP="00A144D1">
            <w:pPr>
              <w:rPr>
                <w:rFonts w:ascii="Arial" w:hAnsi="Arial" w:cs="Arial"/>
                <w:sz w:val="22"/>
                <w:szCs w:val="22"/>
              </w:rPr>
            </w:pPr>
            <w:r w:rsidRPr="00F951AA">
              <w:rPr>
                <w:rFonts w:ascii="Arial" w:hAnsi="Arial" w:cs="Arial"/>
                <w:sz w:val="22"/>
                <w:szCs w:val="22"/>
              </w:rPr>
              <w:t>Red: More than 5.5 days</w:t>
            </w:r>
          </w:p>
          <w:p w:rsidR="00A7392B" w:rsidRDefault="00A7392B" w:rsidP="00A144D1">
            <w:pPr>
              <w:rPr>
                <w:rFonts w:ascii="Arial" w:hAnsi="Arial" w:cs="Arial"/>
                <w:sz w:val="22"/>
                <w:szCs w:val="22"/>
              </w:rPr>
            </w:pPr>
          </w:p>
          <w:p w:rsidR="00A7392B" w:rsidRPr="00D40E65" w:rsidRDefault="00A7392B" w:rsidP="00A144D1">
            <w:pPr>
              <w:rPr>
                <w:rFonts w:ascii="Arial" w:hAnsi="Arial" w:cs="Arial"/>
                <w:sz w:val="22"/>
                <w:szCs w:val="22"/>
              </w:rPr>
            </w:pPr>
          </w:p>
        </w:tc>
      </w:tr>
      <w:tr w:rsidR="00A7392B" w:rsidRPr="00D40E65" w:rsidTr="00A144D1">
        <w:trPr>
          <w:trHeight w:val="51"/>
        </w:trPr>
        <w:tc>
          <w:tcPr>
            <w:tcW w:w="1394" w:type="pct"/>
            <w:vMerge/>
          </w:tcPr>
          <w:p w:rsidR="00A7392B" w:rsidRPr="00D40E65" w:rsidRDefault="00A7392B" w:rsidP="00A144D1">
            <w:pPr>
              <w:rPr>
                <w:rFonts w:ascii="Arial" w:hAnsi="Arial" w:cs="Arial"/>
                <w:sz w:val="22"/>
                <w:szCs w:val="22"/>
              </w:rPr>
            </w:pPr>
          </w:p>
        </w:tc>
        <w:tc>
          <w:tcPr>
            <w:tcW w:w="915" w:type="pct"/>
          </w:tcPr>
          <w:p w:rsidR="00A7392B" w:rsidRPr="00253ECB" w:rsidRDefault="00A7392B" w:rsidP="00A144D1">
            <w:pPr>
              <w:rPr>
                <w:rFonts w:ascii="Arial" w:hAnsi="Arial" w:cs="Arial"/>
                <w:sz w:val="22"/>
                <w:szCs w:val="22"/>
              </w:rPr>
            </w:pPr>
            <w:r>
              <w:rPr>
                <w:rFonts w:ascii="Arial" w:hAnsi="Arial" w:cs="Arial"/>
                <w:sz w:val="22"/>
                <w:szCs w:val="22"/>
              </w:rPr>
              <w:t>Proportions of appraisals completed on time</w:t>
            </w:r>
          </w:p>
        </w:tc>
        <w:tc>
          <w:tcPr>
            <w:tcW w:w="2691" w:type="pct"/>
          </w:tcPr>
          <w:p w:rsidR="00A7392B" w:rsidRDefault="00A7392B" w:rsidP="00A144D1">
            <w:pPr>
              <w:rPr>
                <w:rFonts w:ascii="Arial" w:hAnsi="Arial" w:cs="Arial"/>
                <w:sz w:val="22"/>
                <w:szCs w:val="22"/>
              </w:rPr>
            </w:pPr>
            <w:r>
              <w:rPr>
                <w:rFonts w:ascii="Arial" w:hAnsi="Arial" w:cs="Arial"/>
                <w:sz w:val="22"/>
                <w:szCs w:val="22"/>
              </w:rPr>
              <w:t>Data is provided at full year and interim (half year) reporting stages</w:t>
            </w:r>
          </w:p>
          <w:p w:rsidR="00A7392B" w:rsidRDefault="00A7392B" w:rsidP="00A144D1">
            <w:pPr>
              <w:rPr>
                <w:rFonts w:ascii="Arial" w:hAnsi="Arial" w:cs="Arial"/>
                <w:sz w:val="22"/>
                <w:szCs w:val="22"/>
              </w:rPr>
            </w:pPr>
          </w:p>
          <w:p w:rsidR="00A7392B" w:rsidRPr="00717390" w:rsidRDefault="00A7392B" w:rsidP="00A144D1">
            <w:pPr>
              <w:rPr>
                <w:rFonts w:ascii="Arial" w:hAnsi="Arial" w:cs="Arial"/>
                <w:sz w:val="22"/>
                <w:szCs w:val="22"/>
              </w:rPr>
            </w:pPr>
            <w:r w:rsidRPr="00717390">
              <w:rPr>
                <w:rFonts w:ascii="Arial" w:hAnsi="Arial" w:cs="Arial"/>
                <w:sz w:val="22"/>
                <w:szCs w:val="22"/>
              </w:rPr>
              <w:t xml:space="preserve">Green – More than 75% </w:t>
            </w:r>
          </w:p>
          <w:p w:rsidR="00A7392B" w:rsidRPr="00717390" w:rsidRDefault="00A7392B" w:rsidP="00A144D1">
            <w:pPr>
              <w:rPr>
                <w:rFonts w:ascii="Arial" w:hAnsi="Arial" w:cs="Arial"/>
                <w:sz w:val="22"/>
                <w:szCs w:val="22"/>
              </w:rPr>
            </w:pPr>
            <w:r w:rsidRPr="00717390">
              <w:rPr>
                <w:rFonts w:ascii="Arial" w:hAnsi="Arial" w:cs="Arial"/>
                <w:sz w:val="22"/>
                <w:szCs w:val="22"/>
              </w:rPr>
              <w:t>Amber – 60-75%</w:t>
            </w:r>
          </w:p>
          <w:p w:rsidR="00A7392B" w:rsidRDefault="00A7392B" w:rsidP="00A144D1">
            <w:pPr>
              <w:rPr>
                <w:rFonts w:ascii="Arial" w:hAnsi="Arial" w:cs="Arial"/>
                <w:sz w:val="22"/>
                <w:szCs w:val="22"/>
              </w:rPr>
            </w:pPr>
            <w:r w:rsidRPr="00717390">
              <w:rPr>
                <w:rFonts w:ascii="Arial" w:hAnsi="Arial" w:cs="Arial"/>
                <w:sz w:val="22"/>
                <w:szCs w:val="22"/>
              </w:rPr>
              <w:t>Red –  Less than 60%</w:t>
            </w:r>
          </w:p>
          <w:p w:rsidR="00A7392B" w:rsidRDefault="00A7392B" w:rsidP="00A144D1">
            <w:pPr>
              <w:rPr>
                <w:rFonts w:ascii="Arial" w:hAnsi="Arial" w:cs="Arial"/>
                <w:sz w:val="22"/>
                <w:szCs w:val="22"/>
              </w:rPr>
            </w:pPr>
          </w:p>
        </w:tc>
      </w:tr>
      <w:tr w:rsidR="00A7392B" w:rsidRPr="00D40E65" w:rsidTr="00A144D1">
        <w:trPr>
          <w:trHeight w:val="51"/>
        </w:trPr>
        <w:tc>
          <w:tcPr>
            <w:tcW w:w="1394" w:type="pct"/>
            <w:vMerge/>
          </w:tcPr>
          <w:p w:rsidR="00A7392B" w:rsidRPr="00D40E65" w:rsidRDefault="00A7392B" w:rsidP="00A144D1">
            <w:pPr>
              <w:rPr>
                <w:rFonts w:ascii="Arial" w:hAnsi="Arial" w:cs="Arial"/>
                <w:sz w:val="22"/>
                <w:szCs w:val="22"/>
              </w:rPr>
            </w:pPr>
          </w:p>
        </w:tc>
        <w:tc>
          <w:tcPr>
            <w:tcW w:w="915" w:type="pct"/>
          </w:tcPr>
          <w:p w:rsidR="00A7392B" w:rsidRDefault="00A7392B" w:rsidP="00A144D1">
            <w:pPr>
              <w:rPr>
                <w:rFonts w:ascii="Arial" w:hAnsi="Arial" w:cs="Arial"/>
                <w:sz w:val="22"/>
                <w:szCs w:val="22"/>
              </w:rPr>
            </w:pPr>
            <w:r>
              <w:rPr>
                <w:rFonts w:ascii="Arial" w:hAnsi="Arial" w:cs="Arial"/>
                <w:sz w:val="22"/>
                <w:szCs w:val="22"/>
              </w:rPr>
              <w:t>Work Issues Raised with EAP Quarterly</w:t>
            </w:r>
          </w:p>
          <w:p w:rsidR="00A7392B" w:rsidRPr="00253ECB" w:rsidRDefault="00A7392B" w:rsidP="00A144D1">
            <w:pPr>
              <w:rPr>
                <w:rFonts w:ascii="Arial" w:hAnsi="Arial" w:cs="Arial"/>
                <w:sz w:val="22"/>
                <w:szCs w:val="22"/>
              </w:rPr>
            </w:pPr>
          </w:p>
        </w:tc>
        <w:tc>
          <w:tcPr>
            <w:tcW w:w="2691" w:type="pct"/>
          </w:tcPr>
          <w:p w:rsidR="00A7392B" w:rsidRPr="00F951AA" w:rsidRDefault="00A7392B" w:rsidP="00A144D1">
            <w:pPr>
              <w:rPr>
                <w:rFonts w:ascii="Arial" w:hAnsi="Arial" w:cs="Arial"/>
                <w:sz w:val="22"/>
                <w:szCs w:val="22"/>
              </w:rPr>
            </w:pPr>
            <w:r w:rsidRPr="00F951AA">
              <w:rPr>
                <w:rFonts w:ascii="Arial" w:hAnsi="Arial" w:cs="Arial"/>
                <w:sz w:val="22"/>
                <w:szCs w:val="22"/>
              </w:rPr>
              <w:t xml:space="preserve">Green – </w:t>
            </w:r>
            <w:r>
              <w:rPr>
                <w:rFonts w:ascii="Arial" w:hAnsi="Arial" w:cs="Arial"/>
                <w:sz w:val="22"/>
                <w:szCs w:val="22"/>
              </w:rPr>
              <w:t>Less</w:t>
            </w:r>
            <w:r w:rsidRPr="00F951AA">
              <w:rPr>
                <w:rFonts w:ascii="Arial" w:hAnsi="Arial" w:cs="Arial"/>
                <w:sz w:val="22"/>
                <w:szCs w:val="22"/>
              </w:rPr>
              <w:t xml:space="preserve"> than </w:t>
            </w:r>
            <w:r>
              <w:rPr>
                <w:rFonts w:ascii="Arial" w:hAnsi="Arial" w:cs="Arial"/>
                <w:sz w:val="22"/>
                <w:szCs w:val="22"/>
              </w:rPr>
              <w:t>16</w:t>
            </w:r>
          </w:p>
          <w:p w:rsidR="00A7392B" w:rsidRPr="00F951AA" w:rsidRDefault="00A7392B" w:rsidP="00A144D1">
            <w:pPr>
              <w:rPr>
                <w:rFonts w:ascii="Arial" w:hAnsi="Arial" w:cs="Arial"/>
                <w:sz w:val="22"/>
                <w:szCs w:val="22"/>
              </w:rPr>
            </w:pPr>
            <w:r w:rsidRPr="00F951AA">
              <w:rPr>
                <w:rFonts w:ascii="Arial" w:hAnsi="Arial" w:cs="Arial"/>
                <w:sz w:val="22"/>
                <w:szCs w:val="22"/>
              </w:rPr>
              <w:t xml:space="preserve">Amber – </w:t>
            </w:r>
            <w:r>
              <w:rPr>
                <w:rFonts w:ascii="Arial" w:hAnsi="Arial" w:cs="Arial"/>
                <w:sz w:val="22"/>
                <w:szCs w:val="22"/>
              </w:rPr>
              <w:t>16-20</w:t>
            </w:r>
          </w:p>
          <w:p w:rsidR="00A7392B" w:rsidRPr="00D40E65" w:rsidRDefault="00A7392B" w:rsidP="00A144D1">
            <w:pPr>
              <w:rPr>
                <w:rFonts w:ascii="Arial" w:hAnsi="Arial" w:cs="Arial"/>
                <w:sz w:val="22"/>
                <w:szCs w:val="22"/>
              </w:rPr>
            </w:pPr>
            <w:r w:rsidRPr="00F951AA">
              <w:rPr>
                <w:rFonts w:ascii="Arial" w:hAnsi="Arial" w:cs="Arial"/>
                <w:sz w:val="22"/>
                <w:szCs w:val="22"/>
              </w:rPr>
              <w:t xml:space="preserve">Red –  </w:t>
            </w:r>
            <w:r>
              <w:rPr>
                <w:rFonts w:ascii="Arial" w:hAnsi="Arial" w:cs="Arial"/>
                <w:sz w:val="22"/>
                <w:szCs w:val="22"/>
              </w:rPr>
              <w:t>More than 20</w:t>
            </w:r>
          </w:p>
        </w:tc>
      </w:tr>
      <w:tr w:rsidR="00A7392B" w:rsidRPr="00D40E65" w:rsidTr="00A144D1">
        <w:trPr>
          <w:trHeight w:val="51"/>
        </w:trPr>
        <w:tc>
          <w:tcPr>
            <w:tcW w:w="1394" w:type="pct"/>
            <w:vMerge/>
          </w:tcPr>
          <w:p w:rsidR="00A7392B" w:rsidRPr="00D40E65" w:rsidRDefault="00A7392B" w:rsidP="00A144D1">
            <w:pPr>
              <w:rPr>
                <w:rFonts w:ascii="Arial" w:hAnsi="Arial" w:cs="Arial"/>
                <w:sz w:val="22"/>
                <w:szCs w:val="22"/>
              </w:rPr>
            </w:pPr>
          </w:p>
        </w:tc>
        <w:tc>
          <w:tcPr>
            <w:tcW w:w="915" w:type="pct"/>
          </w:tcPr>
          <w:p w:rsidR="00A7392B" w:rsidRPr="00253ECB" w:rsidRDefault="00A7392B" w:rsidP="00A144D1">
            <w:pPr>
              <w:rPr>
                <w:rFonts w:ascii="Arial" w:hAnsi="Arial" w:cs="Arial"/>
                <w:sz w:val="22"/>
                <w:szCs w:val="22"/>
              </w:rPr>
            </w:pPr>
            <w:r w:rsidRPr="00253ECB">
              <w:rPr>
                <w:rFonts w:ascii="Arial" w:hAnsi="Arial" w:cs="Arial"/>
                <w:sz w:val="22"/>
                <w:szCs w:val="22"/>
              </w:rPr>
              <w:t xml:space="preserve">Exit Interview Data </w:t>
            </w:r>
          </w:p>
        </w:tc>
        <w:tc>
          <w:tcPr>
            <w:tcW w:w="2691" w:type="pct"/>
          </w:tcPr>
          <w:p w:rsidR="00A7392B" w:rsidRPr="00F770DB" w:rsidRDefault="00A7392B" w:rsidP="00A144D1">
            <w:pPr>
              <w:tabs>
                <w:tab w:val="left" w:pos="567"/>
              </w:tabs>
              <w:rPr>
                <w:rFonts w:ascii="Arial" w:hAnsi="Arial" w:cs="Arial"/>
                <w:sz w:val="22"/>
                <w:szCs w:val="22"/>
              </w:rPr>
            </w:pPr>
            <w:r w:rsidRPr="00F770DB">
              <w:rPr>
                <w:rFonts w:ascii="Arial" w:hAnsi="Arial" w:cs="Arial"/>
                <w:sz w:val="22"/>
                <w:szCs w:val="22"/>
              </w:rPr>
              <w:t xml:space="preserve">Staff who leave the organisation are asked to complete an on line exit interview </w:t>
            </w:r>
            <w:r>
              <w:rPr>
                <w:rFonts w:ascii="Arial" w:hAnsi="Arial" w:cs="Arial"/>
                <w:sz w:val="22"/>
                <w:szCs w:val="22"/>
              </w:rPr>
              <w:t>with 4 key questions</w:t>
            </w:r>
          </w:p>
          <w:p w:rsidR="00A7392B" w:rsidRPr="00F770DB" w:rsidRDefault="00A7392B" w:rsidP="00A144D1">
            <w:pPr>
              <w:rPr>
                <w:rFonts w:ascii="Arial" w:hAnsi="Arial" w:cs="Arial"/>
                <w:sz w:val="22"/>
                <w:szCs w:val="22"/>
              </w:rPr>
            </w:pPr>
          </w:p>
          <w:p w:rsidR="00A7392B" w:rsidRPr="00FC21F2" w:rsidRDefault="00A7392B" w:rsidP="00A7392B">
            <w:pPr>
              <w:pStyle w:val="ListParagraph"/>
              <w:numPr>
                <w:ilvl w:val="0"/>
                <w:numId w:val="20"/>
              </w:numPr>
              <w:rPr>
                <w:rFonts w:ascii="Arial" w:hAnsi="Arial" w:cs="Arial"/>
                <w:sz w:val="22"/>
                <w:szCs w:val="22"/>
              </w:rPr>
            </w:pPr>
            <w:r w:rsidRPr="00FC21F2">
              <w:rPr>
                <w:rFonts w:ascii="Arial" w:hAnsi="Arial" w:cs="Arial"/>
                <w:sz w:val="22"/>
                <w:szCs w:val="22"/>
              </w:rPr>
              <w:t>Did you feel valued in your job?</w:t>
            </w:r>
          </w:p>
          <w:p w:rsidR="00A7392B" w:rsidRPr="00FC21F2" w:rsidRDefault="00A7392B" w:rsidP="00A7392B">
            <w:pPr>
              <w:pStyle w:val="ListParagraph"/>
              <w:numPr>
                <w:ilvl w:val="0"/>
                <w:numId w:val="20"/>
              </w:numPr>
              <w:rPr>
                <w:rFonts w:ascii="Arial" w:hAnsi="Arial" w:cs="Arial"/>
                <w:sz w:val="22"/>
                <w:szCs w:val="22"/>
              </w:rPr>
            </w:pPr>
            <w:r w:rsidRPr="00FC21F2">
              <w:rPr>
                <w:rFonts w:ascii="Arial" w:hAnsi="Arial" w:cs="Arial"/>
                <w:sz w:val="22"/>
                <w:szCs w:val="22"/>
              </w:rPr>
              <w:t>How would you rate staff morale?</w:t>
            </w:r>
          </w:p>
          <w:p w:rsidR="00A7392B" w:rsidRPr="00FC21F2" w:rsidRDefault="00A7392B" w:rsidP="00A7392B">
            <w:pPr>
              <w:pStyle w:val="ListParagraph"/>
              <w:numPr>
                <w:ilvl w:val="0"/>
                <w:numId w:val="20"/>
              </w:numPr>
              <w:rPr>
                <w:rFonts w:ascii="Arial" w:hAnsi="Arial" w:cs="Arial"/>
                <w:sz w:val="22"/>
                <w:szCs w:val="22"/>
              </w:rPr>
            </w:pPr>
            <w:r w:rsidRPr="00FC21F2">
              <w:rPr>
                <w:rFonts w:ascii="Arial" w:hAnsi="Arial" w:cs="Arial"/>
                <w:sz w:val="22"/>
                <w:szCs w:val="22"/>
              </w:rPr>
              <w:t>How would you rate work/life balance?</w:t>
            </w:r>
          </w:p>
          <w:p w:rsidR="00A7392B" w:rsidRPr="00FC21F2" w:rsidRDefault="00A7392B" w:rsidP="00A7392B">
            <w:pPr>
              <w:pStyle w:val="ListParagraph"/>
              <w:numPr>
                <w:ilvl w:val="0"/>
                <w:numId w:val="20"/>
              </w:numPr>
              <w:rPr>
                <w:rFonts w:ascii="Arial" w:hAnsi="Arial" w:cs="Arial"/>
                <w:sz w:val="22"/>
                <w:szCs w:val="22"/>
              </w:rPr>
            </w:pPr>
            <w:r w:rsidRPr="00FC21F2">
              <w:rPr>
                <w:rFonts w:ascii="Arial" w:hAnsi="Arial" w:cs="Arial"/>
                <w:sz w:val="22"/>
                <w:szCs w:val="22"/>
              </w:rPr>
              <w:t>Would you recommend the SC</w:t>
            </w:r>
            <w:r>
              <w:rPr>
                <w:rFonts w:ascii="Arial" w:hAnsi="Arial" w:cs="Arial"/>
                <w:sz w:val="22"/>
                <w:szCs w:val="22"/>
              </w:rPr>
              <w:t>T</w:t>
            </w:r>
            <w:r w:rsidRPr="00FC21F2">
              <w:rPr>
                <w:rFonts w:ascii="Arial" w:hAnsi="Arial" w:cs="Arial"/>
                <w:sz w:val="22"/>
                <w:szCs w:val="22"/>
              </w:rPr>
              <w:t>S?</w:t>
            </w:r>
          </w:p>
          <w:p w:rsidR="00A7392B" w:rsidRDefault="00A7392B" w:rsidP="00A144D1">
            <w:pPr>
              <w:rPr>
                <w:rFonts w:ascii="Arial" w:hAnsi="Arial" w:cs="Arial"/>
                <w:sz w:val="22"/>
                <w:szCs w:val="22"/>
              </w:rPr>
            </w:pPr>
          </w:p>
          <w:p w:rsidR="00A7392B" w:rsidRDefault="00A7392B" w:rsidP="00A144D1">
            <w:pPr>
              <w:rPr>
                <w:rFonts w:ascii="Arial" w:hAnsi="Arial" w:cs="Arial"/>
                <w:sz w:val="22"/>
                <w:szCs w:val="22"/>
              </w:rPr>
            </w:pPr>
            <w:r>
              <w:rPr>
                <w:rFonts w:ascii="Arial" w:hAnsi="Arial" w:cs="Arial"/>
                <w:sz w:val="22"/>
                <w:szCs w:val="22"/>
              </w:rPr>
              <w:t>Each response is RAG rated (green for a positive response of 70% or more, amber for 60-69% and red for below 60%).  The 4 measures are then assessed together:</w:t>
            </w:r>
          </w:p>
          <w:p w:rsidR="00A7392B" w:rsidRDefault="00A7392B" w:rsidP="00A144D1">
            <w:pPr>
              <w:rPr>
                <w:rFonts w:ascii="Arial" w:hAnsi="Arial" w:cs="Arial"/>
                <w:sz w:val="22"/>
                <w:szCs w:val="22"/>
              </w:rPr>
            </w:pPr>
          </w:p>
          <w:p w:rsidR="00A7392B" w:rsidRPr="004A3407" w:rsidRDefault="00A7392B" w:rsidP="00A144D1">
            <w:pPr>
              <w:rPr>
                <w:rFonts w:ascii="Arial" w:hAnsi="Arial" w:cs="Arial"/>
                <w:sz w:val="22"/>
                <w:szCs w:val="22"/>
              </w:rPr>
            </w:pPr>
            <w:r>
              <w:rPr>
                <w:rFonts w:ascii="Arial" w:hAnsi="Arial" w:cs="Arial"/>
                <w:sz w:val="22"/>
                <w:szCs w:val="22"/>
              </w:rPr>
              <w:t xml:space="preserve">Red:  </w:t>
            </w:r>
            <w:r w:rsidRPr="004A3407">
              <w:rPr>
                <w:rFonts w:ascii="Arial" w:hAnsi="Arial" w:cs="Arial"/>
                <w:sz w:val="22"/>
                <w:szCs w:val="22"/>
              </w:rPr>
              <w:t xml:space="preserve">Reds – Greens = 2 or more </w:t>
            </w:r>
          </w:p>
          <w:p w:rsidR="00A7392B" w:rsidRPr="004A3407" w:rsidRDefault="00A7392B" w:rsidP="00A144D1">
            <w:pPr>
              <w:rPr>
                <w:rFonts w:ascii="Arial" w:hAnsi="Arial" w:cs="Arial"/>
                <w:sz w:val="22"/>
                <w:szCs w:val="22"/>
              </w:rPr>
            </w:pPr>
            <w:r>
              <w:rPr>
                <w:rFonts w:ascii="Arial" w:hAnsi="Arial" w:cs="Arial"/>
                <w:sz w:val="22"/>
                <w:szCs w:val="22"/>
              </w:rPr>
              <w:t>Amber</w:t>
            </w:r>
            <w:r>
              <w:rPr>
                <w:rFonts w:ascii="Arial" w:hAnsi="Arial" w:cs="Arial"/>
                <w:sz w:val="22"/>
                <w:szCs w:val="22"/>
              </w:rPr>
              <w:tab/>
              <w:t xml:space="preserve"> </w:t>
            </w:r>
            <w:r w:rsidRPr="004A3407">
              <w:rPr>
                <w:rFonts w:ascii="Arial" w:hAnsi="Arial" w:cs="Arial"/>
                <w:sz w:val="22"/>
                <w:szCs w:val="22"/>
              </w:rPr>
              <w:t xml:space="preserve">2 or more </w:t>
            </w:r>
            <w:r>
              <w:rPr>
                <w:rFonts w:ascii="Arial" w:hAnsi="Arial" w:cs="Arial"/>
                <w:sz w:val="22"/>
                <w:szCs w:val="22"/>
              </w:rPr>
              <w:t>responses</w:t>
            </w:r>
            <w:r w:rsidRPr="004A3407">
              <w:rPr>
                <w:rFonts w:ascii="Arial" w:hAnsi="Arial" w:cs="Arial"/>
                <w:sz w:val="22"/>
                <w:szCs w:val="22"/>
              </w:rPr>
              <w:t xml:space="preserve"> amber</w:t>
            </w:r>
            <w:r>
              <w:rPr>
                <w:rFonts w:ascii="Arial" w:hAnsi="Arial" w:cs="Arial"/>
                <w:sz w:val="22"/>
                <w:szCs w:val="22"/>
              </w:rPr>
              <w:t xml:space="preserve"> or t</w:t>
            </w:r>
            <w:r w:rsidRPr="004A3407">
              <w:rPr>
                <w:rFonts w:ascii="Arial" w:hAnsi="Arial" w:cs="Arial"/>
                <w:sz w:val="22"/>
                <w:szCs w:val="22"/>
              </w:rPr>
              <w:t xml:space="preserve">otal number of Greens - Reds </w:t>
            </w:r>
            <w:r>
              <w:rPr>
                <w:rFonts w:ascii="Arial" w:hAnsi="Arial" w:cs="Arial"/>
                <w:sz w:val="22"/>
                <w:szCs w:val="22"/>
              </w:rPr>
              <w:t>or</w:t>
            </w:r>
            <w:r w:rsidRPr="004A3407">
              <w:rPr>
                <w:rFonts w:ascii="Arial" w:hAnsi="Arial" w:cs="Arial"/>
                <w:sz w:val="22"/>
                <w:szCs w:val="22"/>
              </w:rPr>
              <w:t xml:space="preserve"> Reds - Greens = 0 </w:t>
            </w:r>
            <w:r>
              <w:rPr>
                <w:rFonts w:ascii="Arial" w:hAnsi="Arial" w:cs="Arial"/>
                <w:sz w:val="22"/>
                <w:szCs w:val="22"/>
              </w:rPr>
              <w:t>or 1</w:t>
            </w:r>
          </w:p>
          <w:p w:rsidR="00A7392B" w:rsidRDefault="00A7392B" w:rsidP="00A144D1">
            <w:pPr>
              <w:rPr>
                <w:rFonts w:ascii="Arial" w:hAnsi="Arial" w:cs="Arial"/>
                <w:sz w:val="22"/>
                <w:szCs w:val="22"/>
              </w:rPr>
            </w:pPr>
            <w:r>
              <w:rPr>
                <w:rFonts w:ascii="Arial" w:hAnsi="Arial" w:cs="Arial"/>
                <w:sz w:val="22"/>
                <w:szCs w:val="22"/>
              </w:rPr>
              <w:t xml:space="preserve">Green: </w:t>
            </w:r>
            <w:r w:rsidRPr="004A3407">
              <w:rPr>
                <w:rFonts w:ascii="Arial" w:hAnsi="Arial" w:cs="Arial"/>
                <w:sz w:val="22"/>
                <w:szCs w:val="22"/>
              </w:rPr>
              <w:t>Greens – Reds = 2 or more</w:t>
            </w:r>
          </w:p>
          <w:p w:rsidR="00A7392B" w:rsidRPr="006067EB" w:rsidRDefault="00A7392B" w:rsidP="00A144D1">
            <w:pPr>
              <w:rPr>
                <w:rFonts w:ascii="Arial" w:hAnsi="Arial" w:cs="Arial"/>
                <w:sz w:val="16"/>
                <w:szCs w:val="16"/>
              </w:rPr>
            </w:pPr>
          </w:p>
        </w:tc>
      </w:tr>
      <w:tr w:rsidR="00A7392B" w:rsidRPr="00D40E65" w:rsidTr="00A144D1">
        <w:trPr>
          <w:trHeight w:val="51"/>
        </w:trPr>
        <w:tc>
          <w:tcPr>
            <w:tcW w:w="1394" w:type="pct"/>
            <w:vMerge/>
          </w:tcPr>
          <w:p w:rsidR="00A7392B" w:rsidRPr="00D40E65" w:rsidRDefault="00A7392B" w:rsidP="00A144D1">
            <w:pPr>
              <w:rPr>
                <w:rFonts w:ascii="Arial" w:hAnsi="Arial" w:cs="Arial"/>
                <w:sz w:val="22"/>
                <w:szCs w:val="22"/>
              </w:rPr>
            </w:pPr>
          </w:p>
        </w:tc>
        <w:tc>
          <w:tcPr>
            <w:tcW w:w="915" w:type="pct"/>
          </w:tcPr>
          <w:p w:rsidR="00A7392B" w:rsidRDefault="00A7392B" w:rsidP="00A144D1">
            <w:pPr>
              <w:rPr>
                <w:rFonts w:ascii="Arial" w:hAnsi="Arial" w:cs="Arial"/>
                <w:sz w:val="22"/>
                <w:szCs w:val="22"/>
              </w:rPr>
            </w:pPr>
            <w:r w:rsidRPr="00253ECB">
              <w:rPr>
                <w:rFonts w:ascii="Arial" w:hAnsi="Arial" w:cs="Arial"/>
                <w:sz w:val="22"/>
                <w:szCs w:val="22"/>
              </w:rPr>
              <w:t>Annual Staff Survey Rating</w:t>
            </w:r>
            <w:r>
              <w:rPr>
                <w:rFonts w:ascii="Arial" w:hAnsi="Arial" w:cs="Arial"/>
                <w:sz w:val="22"/>
                <w:szCs w:val="22"/>
              </w:rPr>
              <w:t xml:space="preserve"> </w:t>
            </w:r>
          </w:p>
          <w:p w:rsidR="00A7392B" w:rsidRPr="006067EB" w:rsidRDefault="00A7392B" w:rsidP="00A144D1">
            <w:pPr>
              <w:rPr>
                <w:rFonts w:ascii="Arial" w:hAnsi="Arial" w:cs="Arial"/>
                <w:sz w:val="16"/>
                <w:szCs w:val="16"/>
              </w:rPr>
            </w:pPr>
          </w:p>
        </w:tc>
        <w:tc>
          <w:tcPr>
            <w:tcW w:w="2691" w:type="pct"/>
          </w:tcPr>
          <w:p w:rsidR="00A7392B" w:rsidRPr="00F951AA" w:rsidRDefault="00A7392B" w:rsidP="00A144D1">
            <w:pPr>
              <w:rPr>
                <w:rFonts w:ascii="Arial" w:hAnsi="Arial" w:cs="Arial"/>
                <w:sz w:val="22"/>
                <w:szCs w:val="22"/>
              </w:rPr>
            </w:pPr>
            <w:r w:rsidRPr="00F951AA">
              <w:rPr>
                <w:rFonts w:ascii="Arial" w:hAnsi="Arial" w:cs="Arial"/>
                <w:sz w:val="22"/>
                <w:szCs w:val="22"/>
              </w:rPr>
              <w:t xml:space="preserve">Green – </w:t>
            </w:r>
            <w:r>
              <w:rPr>
                <w:rFonts w:ascii="Arial" w:hAnsi="Arial" w:cs="Arial"/>
                <w:sz w:val="22"/>
                <w:szCs w:val="22"/>
              </w:rPr>
              <w:t>More</w:t>
            </w:r>
            <w:r w:rsidRPr="00F951AA">
              <w:rPr>
                <w:rFonts w:ascii="Arial" w:hAnsi="Arial" w:cs="Arial"/>
                <w:sz w:val="22"/>
                <w:szCs w:val="22"/>
              </w:rPr>
              <w:t xml:space="preserve"> than </w:t>
            </w:r>
            <w:r>
              <w:rPr>
                <w:rFonts w:ascii="Arial" w:hAnsi="Arial" w:cs="Arial"/>
                <w:sz w:val="22"/>
                <w:szCs w:val="22"/>
              </w:rPr>
              <w:t>60% engagement index</w:t>
            </w:r>
          </w:p>
          <w:p w:rsidR="00A7392B" w:rsidRPr="00F951AA" w:rsidRDefault="00A7392B" w:rsidP="00A144D1">
            <w:pPr>
              <w:rPr>
                <w:rFonts w:ascii="Arial" w:hAnsi="Arial" w:cs="Arial"/>
                <w:sz w:val="22"/>
                <w:szCs w:val="22"/>
              </w:rPr>
            </w:pPr>
            <w:r w:rsidRPr="00F951AA">
              <w:rPr>
                <w:rFonts w:ascii="Arial" w:hAnsi="Arial" w:cs="Arial"/>
                <w:sz w:val="22"/>
                <w:szCs w:val="22"/>
              </w:rPr>
              <w:t xml:space="preserve">Amber – </w:t>
            </w:r>
            <w:r>
              <w:rPr>
                <w:rFonts w:ascii="Arial" w:hAnsi="Arial" w:cs="Arial"/>
                <w:sz w:val="22"/>
                <w:szCs w:val="22"/>
              </w:rPr>
              <w:t>50-60%</w:t>
            </w:r>
          </w:p>
          <w:p w:rsidR="00A7392B" w:rsidRDefault="00A7392B" w:rsidP="00A144D1">
            <w:pPr>
              <w:rPr>
                <w:rFonts w:ascii="Arial" w:hAnsi="Arial" w:cs="Arial"/>
                <w:sz w:val="22"/>
                <w:szCs w:val="22"/>
              </w:rPr>
            </w:pPr>
            <w:r w:rsidRPr="00F951AA">
              <w:rPr>
                <w:rFonts w:ascii="Arial" w:hAnsi="Arial" w:cs="Arial"/>
                <w:sz w:val="22"/>
                <w:szCs w:val="22"/>
              </w:rPr>
              <w:t xml:space="preserve">Red –  </w:t>
            </w:r>
            <w:r>
              <w:rPr>
                <w:rFonts w:ascii="Arial" w:hAnsi="Arial" w:cs="Arial"/>
                <w:sz w:val="22"/>
                <w:szCs w:val="22"/>
              </w:rPr>
              <w:t>Less than 50%</w:t>
            </w:r>
          </w:p>
          <w:p w:rsidR="00A7392B" w:rsidRPr="00D40E65" w:rsidRDefault="00A7392B" w:rsidP="00A144D1">
            <w:pPr>
              <w:rPr>
                <w:rFonts w:ascii="Arial" w:hAnsi="Arial" w:cs="Arial"/>
                <w:sz w:val="22"/>
                <w:szCs w:val="22"/>
              </w:rPr>
            </w:pPr>
          </w:p>
        </w:tc>
      </w:tr>
      <w:tr w:rsidR="00A7392B" w:rsidRPr="00D40E65" w:rsidTr="00A144D1">
        <w:tc>
          <w:tcPr>
            <w:tcW w:w="1394" w:type="pct"/>
          </w:tcPr>
          <w:p w:rsidR="00A7392B" w:rsidRPr="00D40E65" w:rsidRDefault="00A7392B" w:rsidP="00A144D1">
            <w:pPr>
              <w:rPr>
                <w:rFonts w:ascii="Arial" w:hAnsi="Arial" w:cs="Arial"/>
                <w:sz w:val="22"/>
                <w:szCs w:val="22"/>
              </w:rPr>
            </w:pPr>
            <w:r w:rsidRPr="00D40E65">
              <w:rPr>
                <w:rFonts w:ascii="Arial" w:hAnsi="Arial" w:cs="Arial"/>
                <w:sz w:val="22"/>
                <w:szCs w:val="22"/>
              </w:rPr>
              <w:t>Performance thresholds for Red/Amber/Green</w:t>
            </w:r>
            <w:r>
              <w:rPr>
                <w:rFonts w:ascii="Arial" w:hAnsi="Arial" w:cs="Arial"/>
                <w:sz w:val="22"/>
                <w:szCs w:val="22"/>
              </w:rPr>
              <w:t xml:space="preserve"> </w:t>
            </w:r>
          </w:p>
        </w:tc>
        <w:tc>
          <w:tcPr>
            <w:tcW w:w="3606" w:type="pct"/>
            <w:gridSpan w:val="2"/>
          </w:tcPr>
          <w:p w:rsidR="00A7392B" w:rsidRPr="00D40E65" w:rsidRDefault="00A7392B" w:rsidP="00A144D1">
            <w:pPr>
              <w:rPr>
                <w:rFonts w:ascii="Arial" w:hAnsi="Arial" w:cs="Arial"/>
                <w:sz w:val="22"/>
                <w:szCs w:val="22"/>
              </w:rPr>
            </w:pPr>
            <w:r w:rsidRPr="00D40E65">
              <w:rPr>
                <w:rFonts w:ascii="Arial" w:hAnsi="Arial" w:cs="Arial"/>
                <w:sz w:val="22"/>
                <w:szCs w:val="22"/>
              </w:rPr>
              <w:t xml:space="preserve">Red </w:t>
            </w:r>
            <w:r>
              <w:rPr>
                <w:rFonts w:ascii="Arial" w:hAnsi="Arial" w:cs="Arial"/>
                <w:sz w:val="22"/>
                <w:szCs w:val="22"/>
              </w:rPr>
              <w:t>– Two or more indicators at red or four or more at amber</w:t>
            </w:r>
          </w:p>
          <w:p w:rsidR="00A7392B" w:rsidRPr="00D40E65" w:rsidRDefault="00A7392B" w:rsidP="00A144D1">
            <w:pPr>
              <w:rPr>
                <w:rFonts w:ascii="Arial" w:hAnsi="Arial" w:cs="Arial"/>
                <w:sz w:val="22"/>
                <w:szCs w:val="22"/>
              </w:rPr>
            </w:pPr>
            <w:r w:rsidRPr="00D40E65">
              <w:rPr>
                <w:rFonts w:ascii="Arial" w:hAnsi="Arial" w:cs="Arial"/>
                <w:sz w:val="22"/>
                <w:szCs w:val="22"/>
              </w:rPr>
              <w:t xml:space="preserve">Amber </w:t>
            </w:r>
            <w:r>
              <w:rPr>
                <w:rFonts w:ascii="Arial" w:hAnsi="Arial" w:cs="Arial"/>
                <w:sz w:val="22"/>
                <w:szCs w:val="22"/>
              </w:rPr>
              <w:t>– three or four measures at amber or one at red</w:t>
            </w:r>
          </w:p>
          <w:p w:rsidR="00A7392B" w:rsidRDefault="00A7392B" w:rsidP="00A144D1">
            <w:pPr>
              <w:rPr>
                <w:rFonts w:ascii="Arial" w:hAnsi="Arial" w:cs="Arial"/>
                <w:sz w:val="22"/>
                <w:szCs w:val="22"/>
              </w:rPr>
            </w:pPr>
            <w:r w:rsidRPr="00D40E65">
              <w:rPr>
                <w:rFonts w:ascii="Arial" w:hAnsi="Arial" w:cs="Arial"/>
                <w:sz w:val="22"/>
                <w:szCs w:val="22"/>
              </w:rPr>
              <w:t>Green</w:t>
            </w:r>
            <w:r>
              <w:rPr>
                <w:rFonts w:ascii="Arial" w:hAnsi="Arial" w:cs="Arial"/>
                <w:sz w:val="22"/>
                <w:szCs w:val="22"/>
              </w:rPr>
              <w:t xml:space="preserve"> – All measures at green or four at green and up to two at amber</w:t>
            </w:r>
          </w:p>
          <w:p w:rsidR="00A7392B" w:rsidRPr="006067EB" w:rsidRDefault="00A7392B" w:rsidP="00A144D1">
            <w:pPr>
              <w:rPr>
                <w:rFonts w:ascii="Arial" w:hAnsi="Arial" w:cs="Arial"/>
                <w:color w:val="FF0000"/>
                <w:sz w:val="16"/>
                <w:szCs w:val="16"/>
              </w:rPr>
            </w:pPr>
          </w:p>
        </w:tc>
      </w:tr>
      <w:tr w:rsidR="00A7392B" w:rsidRPr="00D40E65" w:rsidTr="00A144D1">
        <w:tc>
          <w:tcPr>
            <w:tcW w:w="1394" w:type="pct"/>
          </w:tcPr>
          <w:p w:rsidR="00A7392B" w:rsidRPr="00D40E65" w:rsidRDefault="00A7392B" w:rsidP="00A144D1">
            <w:pPr>
              <w:rPr>
                <w:rFonts w:ascii="Arial" w:hAnsi="Arial" w:cs="Arial"/>
                <w:sz w:val="22"/>
                <w:szCs w:val="22"/>
              </w:rPr>
            </w:pPr>
            <w:r w:rsidRPr="00D40E65">
              <w:rPr>
                <w:rFonts w:ascii="Arial" w:hAnsi="Arial" w:cs="Arial"/>
                <w:sz w:val="22"/>
                <w:szCs w:val="22"/>
              </w:rPr>
              <w:t>Frequency of Collection</w:t>
            </w:r>
          </w:p>
        </w:tc>
        <w:tc>
          <w:tcPr>
            <w:tcW w:w="3606" w:type="pct"/>
            <w:gridSpan w:val="2"/>
          </w:tcPr>
          <w:p w:rsidR="00A7392B" w:rsidRDefault="00A7392B" w:rsidP="00A144D1">
            <w:pPr>
              <w:rPr>
                <w:rFonts w:ascii="Arial" w:hAnsi="Arial" w:cs="Arial"/>
                <w:sz w:val="22"/>
                <w:szCs w:val="22"/>
              </w:rPr>
            </w:pPr>
            <w:r>
              <w:rPr>
                <w:rFonts w:ascii="Arial" w:hAnsi="Arial" w:cs="Arial"/>
                <w:sz w:val="22"/>
                <w:szCs w:val="22"/>
              </w:rPr>
              <w:t>Quarterly</w:t>
            </w:r>
          </w:p>
          <w:p w:rsidR="00A7392B" w:rsidRPr="006067EB" w:rsidRDefault="00A7392B" w:rsidP="00A144D1">
            <w:pPr>
              <w:rPr>
                <w:rFonts w:ascii="Arial" w:hAnsi="Arial" w:cs="Arial"/>
                <w:sz w:val="16"/>
                <w:szCs w:val="16"/>
              </w:rPr>
            </w:pPr>
          </w:p>
        </w:tc>
      </w:tr>
      <w:tr w:rsidR="00A7392B" w:rsidRPr="00D40E65" w:rsidTr="00A144D1">
        <w:tc>
          <w:tcPr>
            <w:tcW w:w="1394" w:type="pct"/>
          </w:tcPr>
          <w:p w:rsidR="00A7392B" w:rsidRPr="00D40E65" w:rsidRDefault="00A7392B" w:rsidP="00A144D1">
            <w:pPr>
              <w:rPr>
                <w:rFonts w:ascii="Arial" w:hAnsi="Arial" w:cs="Arial"/>
                <w:sz w:val="22"/>
                <w:szCs w:val="22"/>
              </w:rPr>
            </w:pPr>
            <w:r w:rsidRPr="00D40E65">
              <w:rPr>
                <w:rFonts w:ascii="Arial" w:hAnsi="Arial" w:cs="Arial"/>
                <w:sz w:val="22"/>
                <w:szCs w:val="22"/>
              </w:rPr>
              <w:t xml:space="preserve">Frequency of Reporting </w:t>
            </w:r>
          </w:p>
        </w:tc>
        <w:tc>
          <w:tcPr>
            <w:tcW w:w="3606" w:type="pct"/>
            <w:gridSpan w:val="2"/>
          </w:tcPr>
          <w:p w:rsidR="00A7392B" w:rsidRDefault="00A7392B" w:rsidP="00A144D1">
            <w:pPr>
              <w:rPr>
                <w:rFonts w:ascii="Arial" w:hAnsi="Arial" w:cs="Arial"/>
                <w:sz w:val="22"/>
                <w:szCs w:val="22"/>
              </w:rPr>
            </w:pPr>
            <w:r w:rsidRPr="00D40E65">
              <w:rPr>
                <w:rFonts w:ascii="Arial" w:hAnsi="Arial" w:cs="Arial"/>
                <w:sz w:val="22"/>
                <w:szCs w:val="22"/>
              </w:rPr>
              <w:t>Quarterly</w:t>
            </w:r>
          </w:p>
          <w:p w:rsidR="00A7392B" w:rsidRPr="006067EB" w:rsidRDefault="00A7392B" w:rsidP="00A144D1">
            <w:pPr>
              <w:rPr>
                <w:rFonts w:ascii="Arial" w:hAnsi="Arial" w:cs="Arial"/>
                <w:sz w:val="16"/>
                <w:szCs w:val="16"/>
              </w:rPr>
            </w:pPr>
          </w:p>
        </w:tc>
      </w:tr>
      <w:tr w:rsidR="00A7392B" w:rsidRPr="00D40E65" w:rsidTr="00A144D1">
        <w:tc>
          <w:tcPr>
            <w:tcW w:w="1394" w:type="pct"/>
          </w:tcPr>
          <w:p w:rsidR="00A7392B" w:rsidRPr="00D40E65" w:rsidRDefault="00A7392B" w:rsidP="00A144D1">
            <w:pPr>
              <w:rPr>
                <w:rFonts w:ascii="Arial" w:hAnsi="Arial" w:cs="Arial"/>
                <w:sz w:val="22"/>
                <w:szCs w:val="22"/>
              </w:rPr>
            </w:pPr>
            <w:r w:rsidRPr="00D40E65">
              <w:rPr>
                <w:rFonts w:ascii="Arial" w:hAnsi="Arial" w:cs="Arial"/>
                <w:sz w:val="22"/>
                <w:szCs w:val="22"/>
              </w:rPr>
              <w:t>Other Comments</w:t>
            </w:r>
          </w:p>
        </w:tc>
        <w:tc>
          <w:tcPr>
            <w:tcW w:w="3606" w:type="pct"/>
            <w:gridSpan w:val="2"/>
          </w:tcPr>
          <w:p w:rsidR="00A7392B" w:rsidRDefault="00A7392B" w:rsidP="00A144D1">
            <w:pPr>
              <w:rPr>
                <w:rFonts w:ascii="Arial" w:hAnsi="Arial" w:cs="Arial"/>
                <w:sz w:val="22"/>
                <w:szCs w:val="22"/>
              </w:rPr>
            </w:pPr>
            <w:r>
              <w:rPr>
                <w:rFonts w:ascii="Arial" w:hAnsi="Arial" w:cs="Arial"/>
                <w:sz w:val="22"/>
                <w:szCs w:val="22"/>
              </w:rPr>
              <w:t>None</w:t>
            </w:r>
          </w:p>
          <w:p w:rsidR="00A7392B" w:rsidRPr="00D40E65" w:rsidRDefault="00A7392B" w:rsidP="00A144D1">
            <w:pPr>
              <w:rPr>
                <w:rFonts w:ascii="Arial" w:hAnsi="Arial" w:cs="Arial"/>
                <w:sz w:val="22"/>
                <w:szCs w:val="22"/>
              </w:rPr>
            </w:pPr>
          </w:p>
        </w:tc>
      </w:tr>
    </w:tbl>
    <w:p w:rsidR="00C02711" w:rsidRDefault="00C02711" w:rsidP="00ED0E87">
      <w:pPr>
        <w:rPr>
          <w:rFonts w:ascii="Arial" w:hAnsi="Arial" w:cs="Arial"/>
          <w:sz w:val="22"/>
          <w:szCs w:val="22"/>
        </w:rPr>
        <w:sectPr w:rsidR="00C02711">
          <w:pgSz w:w="11906" w:h="16838"/>
          <w:pgMar w:top="1440" w:right="1800" w:bottom="1440" w:left="1800" w:header="708" w:footer="708" w:gutter="0"/>
          <w:cols w:space="708"/>
          <w:docGrid w:linePitch="360"/>
        </w:sectPr>
      </w:pPr>
    </w:p>
    <w:p w:rsidR="00ED0E87" w:rsidRDefault="00ED0E87"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993EC3" w:rsidRPr="00D40E65" w:rsidTr="00753200">
        <w:tc>
          <w:tcPr>
            <w:tcW w:w="1927" w:type="pct"/>
            <w:shd w:val="clear" w:color="auto" w:fill="0FC1A3"/>
          </w:tcPr>
          <w:p w:rsidR="00993EC3" w:rsidRDefault="00993EC3" w:rsidP="00162868">
            <w:pPr>
              <w:shd w:val="clear" w:color="auto" w:fill="0FC1A3"/>
              <w:rPr>
                <w:rFonts w:ascii="Arial" w:hAnsi="Arial" w:cs="Arial"/>
                <w:b/>
                <w:sz w:val="22"/>
                <w:szCs w:val="22"/>
              </w:rPr>
            </w:pPr>
            <w:r w:rsidRPr="00C919FE">
              <w:rPr>
                <w:rFonts w:ascii="Arial" w:hAnsi="Arial" w:cs="Arial"/>
                <w:b/>
                <w:szCs w:val="22"/>
                <w:shd w:val="clear" w:color="auto" w:fill="0FC1A3"/>
              </w:rPr>
              <w:t>Strategic Priority 3</w:t>
            </w:r>
          </w:p>
        </w:tc>
        <w:tc>
          <w:tcPr>
            <w:tcW w:w="3073" w:type="pct"/>
            <w:shd w:val="clear" w:color="auto" w:fill="0FC1A3"/>
          </w:tcPr>
          <w:p w:rsidR="00993EC3" w:rsidRDefault="00993EC3" w:rsidP="00280DA5">
            <w:pPr>
              <w:rPr>
                <w:rFonts w:ascii="Arial" w:hAnsi="Arial" w:cs="Arial"/>
                <w:b/>
                <w:szCs w:val="22"/>
              </w:rPr>
            </w:pPr>
            <w:r w:rsidRPr="00C919FE">
              <w:rPr>
                <w:rFonts w:ascii="Arial" w:hAnsi="Arial" w:cs="Arial"/>
                <w:b/>
                <w:szCs w:val="22"/>
                <w:shd w:val="clear" w:color="auto" w:fill="0FC1A3"/>
              </w:rPr>
              <w:t>Skilled, Engaged and Motivated</w:t>
            </w:r>
            <w:r w:rsidRPr="00940BCB">
              <w:rPr>
                <w:rFonts w:ascii="Arial" w:hAnsi="Arial" w:cs="Arial"/>
                <w:b/>
                <w:szCs w:val="22"/>
              </w:rPr>
              <w:t xml:space="preserve"> People</w:t>
            </w:r>
          </w:p>
          <w:p w:rsidR="00EA2D8D" w:rsidRPr="00D40E65" w:rsidRDefault="00EA2D8D" w:rsidP="00280DA5">
            <w:pPr>
              <w:rPr>
                <w:rFonts w:ascii="Arial" w:hAnsi="Arial" w:cs="Arial"/>
                <w:b/>
                <w:sz w:val="22"/>
                <w:szCs w:val="22"/>
              </w:rPr>
            </w:pPr>
          </w:p>
        </w:tc>
      </w:tr>
      <w:tr w:rsidR="00ED0E87" w:rsidRPr="00D40E65" w:rsidTr="00364ED2">
        <w:trPr>
          <w:trHeight w:val="397"/>
        </w:trPr>
        <w:tc>
          <w:tcPr>
            <w:tcW w:w="1927" w:type="pct"/>
          </w:tcPr>
          <w:p w:rsidR="00ED0E87" w:rsidRPr="00D40E65" w:rsidRDefault="00ED0E87" w:rsidP="00280DA5">
            <w:pPr>
              <w:rPr>
                <w:rFonts w:ascii="Arial" w:hAnsi="Arial" w:cs="Arial"/>
                <w:b/>
                <w:sz w:val="22"/>
                <w:szCs w:val="22"/>
              </w:rPr>
            </w:pPr>
            <w:r>
              <w:rPr>
                <w:rFonts w:ascii="Arial" w:hAnsi="Arial" w:cs="Arial"/>
                <w:b/>
                <w:sz w:val="22"/>
                <w:szCs w:val="22"/>
              </w:rPr>
              <w:t>Measure</w:t>
            </w:r>
            <w:r w:rsidRPr="009E5460">
              <w:rPr>
                <w:rFonts w:ascii="Arial" w:hAnsi="Arial" w:cs="Arial"/>
                <w:b/>
                <w:sz w:val="22"/>
                <w:szCs w:val="22"/>
              </w:rPr>
              <w:t xml:space="preserve"> 3</w:t>
            </w:r>
            <w:r w:rsidR="006A6D8B">
              <w:rPr>
                <w:rFonts w:ascii="Arial" w:hAnsi="Arial" w:cs="Arial"/>
                <w:b/>
                <w:sz w:val="22"/>
                <w:szCs w:val="22"/>
              </w:rPr>
              <w:t>(</w:t>
            </w:r>
            <w:r>
              <w:rPr>
                <w:rFonts w:ascii="Arial" w:hAnsi="Arial" w:cs="Arial"/>
                <w:b/>
                <w:sz w:val="22"/>
                <w:szCs w:val="22"/>
              </w:rPr>
              <w:t>b</w:t>
            </w:r>
            <w:r w:rsidR="006A6D8B">
              <w:rPr>
                <w:rFonts w:ascii="Arial" w:hAnsi="Arial" w:cs="Arial"/>
                <w:b/>
                <w:sz w:val="22"/>
                <w:szCs w:val="22"/>
              </w:rPr>
              <w:t>)</w:t>
            </w:r>
          </w:p>
        </w:tc>
        <w:tc>
          <w:tcPr>
            <w:tcW w:w="3073" w:type="pct"/>
          </w:tcPr>
          <w:p w:rsidR="00ED0E87" w:rsidRPr="00D40E65" w:rsidRDefault="00ED0E87" w:rsidP="00280DA5">
            <w:pPr>
              <w:rPr>
                <w:rFonts w:ascii="Arial" w:hAnsi="Arial" w:cs="Arial"/>
                <w:b/>
                <w:sz w:val="22"/>
                <w:szCs w:val="22"/>
              </w:rPr>
            </w:pPr>
            <w:r w:rsidRPr="009E5460">
              <w:rPr>
                <w:rFonts w:ascii="Arial" w:hAnsi="Arial" w:cs="Arial"/>
                <w:b/>
                <w:sz w:val="22"/>
                <w:szCs w:val="22"/>
              </w:rPr>
              <w:t>Delivery of developmental activities</w:t>
            </w: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The proportion of staff who have attended relevant technical and developmental courses.</w:t>
            </w:r>
          </w:p>
          <w:p w:rsidR="00EA2D8D" w:rsidRPr="00D40E65" w:rsidRDefault="00EA2D8D"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4856C1" w:rsidRDefault="004856C1" w:rsidP="00364ED2">
            <w:pPr>
              <w:ind w:left="720"/>
              <w:rPr>
                <w:rFonts w:ascii="Arial" w:hAnsi="Arial" w:cs="Arial"/>
                <w:sz w:val="22"/>
                <w:szCs w:val="22"/>
              </w:rPr>
            </w:pPr>
          </w:p>
          <w:p w:rsidR="00ED0E87" w:rsidRPr="00D40E65" w:rsidRDefault="00ED0E87" w:rsidP="004856C1">
            <w:pPr>
              <w:rPr>
                <w:rFonts w:ascii="Arial" w:hAnsi="Arial" w:cs="Arial"/>
                <w:sz w:val="22"/>
                <w:szCs w:val="22"/>
              </w:rPr>
            </w:pP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Providing appropriately trained staff is a core responsibility of the SC</w:t>
            </w:r>
            <w:r w:rsidR="002F40FB">
              <w:rPr>
                <w:rFonts w:ascii="Arial" w:hAnsi="Arial" w:cs="Arial"/>
                <w:sz w:val="22"/>
                <w:szCs w:val="22"/>
              </w:rPr>
              <w:t>T</w:t>
            </w:r>
            <w:r w:rsidRPr="00D40E65">
              <w:rPr>
                <w:rFonts w:ascii="Arial" w:hAnsi="Arial" w:cs="Arial"/>
                <w:sz w:val="22"/>
                <w:szCs w:val="22"/>
              </w:rPr>
              <w:t xml:space="preserve">S. Ensuring that </w:t>
            </w:r>
            <w:proofErr w:type="gramStart"/>
            <w:r w:rsidRPr="00D40E65">
              <w:rPr>
                <w:rFonts w:ascii="Arial" w:hAnsi="Arial" w:cs="Arial"/>
                <w:sz w:val="22"/>
                <w:szCs w:val="22"/>
              </w:rPr>
              <w:t>staff receive</w:t>
            </w:r>
            <w:proofErr w:type="gramEnd"/>
            <w:r w:rsidRPr="00D40E65">
              <w:rPr>
                <w:rFonts w:ascii="Arial" w:hAnsi="Arial" w:cs="Arial"/>
                <w:sz w:val="22"/>
                <w:szCs w:val="22"/>
              </w:rPr>
              <w:t xml:space="preserve"> an appropriate level or training in technical, managerial and specialist areas is essential for providing high quality court services.</w:t>
            </w:r>
          </w:p>
          <w:p w:rsidR="00EA2D8D" w:rsidRPr="00D40E65" w:rsidRDefault="00EA2D8D" w:rsidP="00364ED2">
            <w:pPr>
              <w:rPr>
                <w:rFonts w:ascii="Arial" w:hAnsi="Arial" w:cs="Arial"/>
                <w:sz w:val="22"/>
                <w:szCs w:val="22"/>
              </w:rPr>
            </w:pPr>
          </w:p>
          <w:p w:rsidR="00EA2D8D" w:rsidRDefault="00ED0E87" w:rsidP="00364ED2">
            <w:pPr>
              <w:rPr>
                <w:rFonts w:ascii="Arial" w:hAnsi="Arial" w:cs="Arial"/>
                <w:sz w:val="22"/>
                <w:szCs w:val="22"/>
              </w:rPr>
            </w:pPr>
            <w:r w:rsidRPr="00D40E65">
              <w:rPr>
                <w:rFonts w:ascii="Arial" w:hAnsi="Arial" w:cs="Arial"/>
                <w:sz w:val="22"/>
                <w:szCs w:val="22"/>
              </w:rPr>
              <w:t>If training is not delivered then SC</w:t>
            </w:r>
            <w:r w:rsidR="002F40FB">
              <w:rPr>
                <w:rFonts w:ascii="Arial" w:hAnsi="Arial" w:cs="Arial"/>
                <w:sz w:val="22"/>
                <w:szCs w:val="22"/>
              </w:rPr>
              <w:t>T</w:t>
            </w:r>
            <w:r w:rsidRPr="00D40E65">
              <w:rPr>
                <w:rFonts w:ascii="Arial" w:hAnsi="Arial" w:cs="Arial"/>
                <w:sz w:val="22"/>
                <w:szCs w:val="22"/>
              </w:rPr>
              <w:t>S will not have the skills in its workforce to continue to deliver high quality services</w:t>
            </w:r>
            <w:r w:rsidR="00EA2D8D">
              <w:rPr>
                <w:rFonts w:ascii="Arial" w:hAnsi="Arial" w:cs="Arial"/>
                <w:sz w:val="22"/>
                <w:szCs w:val="22"/>
              </w:rPr>
              <w:t>, to cope with changes to systems and the introduction of new ways of working.</w:t>
            </w:r>
          </w:p>
          <w:p w:rsidR="00ED0E87" w:rsidRDefault="00ED0E87" w:rsidP="00364ED2">
            <w:pPr>
              <w:rPr>
                <w:rFonts w:ascii="Arial" w:hAnsi="Arial" w:cs="Arial"/>
                <w:sz w:val="22"/>
                <w:szCs w:val="22"/>
              </w:rPr>
            </w:pPr>
          </w:p>
          <w:p w:rsidR="00ED0E87" w:rsidRPr="00D40E65" w:rsidRDefault="00ED0E87"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ED0E87" w:rsidRDefault="00ED0E87" w:rsidP="00B7613F">
            <w:pPr>
              <w:rPr>
                <w:rFonts w:ascii="Arial" w:hAnsi="Arial" w:cs="Arial"/>
                <w:sz w:val="22"/>
                <w:szCs w:val="22"/>
              </w:rPr>
            </w:pPr>
            <w:r w:rsidRPr="00D40E65">
              <w:rPr>
                <w:rFonts w:ascii="Arial" w:hAnsi="Arial" w:cs="Arial"/>
                <w:sz w:val="22"/>
                <w:szCs w:val="22"/>
              </w:rPr>
              <w:t>Director HR</w:t>
            </w:r>
          </w:p>
          <w:p w:rsidR="00EA2D8D" w:rsidRPr="00D40E65" w:rsidRDefault="00EA2D8D" w:rsidP="00B7613F">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HR training databases, workforce planning and skills assessment tool</w:t>
            </w:r>
          </w:p>
          <w:p w:rsidR="00EA2D8D" w:rsidRPr="00D40E65" w:rsidRDefault="00EA2D8D"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 xml:space="preserve">Number of staff as a proportion of the total headcount who have </w:t>
            </w:r>
            <w:r>
              <w:rPr>
                <w:rFonts w:ascii="Arial" w:hAnsi="Arial" w:cs="Arial"/>
                <w:sz w:val="22"/>
                <w:szCs w:val="22"/>
              </w:rPr>
              <w:t xml:space="preserve">either </w:t>
            </w:r>
            <w:r w:rsidRPr="00D40E65">
              <w:rPr>
                <w:rFonts w:ascii="Arial" w:hAnsi="Arial" w:cs="Arial"/>
                <w:sz w:val="22"/>
                <w:szCs w:val="22"/>
              </w:rPr>
              <w:t>completed</w:t>
            </w:r>
            <w:r>
              <w:rPr>
                <w:rFonts w:ascii="Arial" w:hAnsi="Arial" w:cs="Arial"/>
                <w:sz w:val="22"/>
                <w:szCs w:val="22"/>
              </w:rPr>
              <w:t xml:space="preserve"> or are undertaking </w:t>
            </w:r>
            <w:r w:rsidRPr="00D40E65">
              <w:rPr>
                <w:rFonts w:ascii="Arial" w:hAnsi="Arial" w:cs="Arial"/>
                <w:sz w:val="22"/>
                <w:szCs w:val="22"/>
              </w:rPr>
              <w:t xml:space="preserve">one or more of the following training courses </w:t>
            </w:r>
            <w:r>
              <w:rPr>
                <w:rFonts w:ascii="Arial" w:hAnsi="Arial" w:cs="Arial"/>
                <w:sz w:val="22"/>
                <w:szCs w:val="22"/>
              </w:rPr>
              <w:t>since</w:t>
            </w:r>
            <w:r w:rsidRPr="00D40E65">
              <w:rPr>
                <w:rFonts w:ascii="Arial" w:hAnsi="Arial" w:cs="Arial"/>
                <w:sz w:val="22"/>
                <w:szCs w:val="22"/>
              </w:rPr>
              <w:t>:</w:t>
            </w:r>
          </w:p>
          <w:p w:rsidR="00EA2D8D" w:rsidRPr="00D40E65" w:rsidRDefault="00EA2D8D" w:rsidP="00364ED2">
            <w:pPr>
              <w:rPr>
                <w:rFonts w:ascii="Arial" w:hAnsi="Arial" w:cs="Arial"/>
                <w:sz w:val="22"/>
                <w:szCs w:val="22"/>
              </w:rPr>
            </w:pPr>
          </w:p>
          <w:p w:rsidR="00ED0E87" w:rsidRDefault="00ED0E87" w:rsidP="00ED0E87">
            <w:pPr>
              <w:numPr>
                <w:ilvl w:val="0"/>
                <w:numId w:val="15"/>
              </w:numPr>
              <w:rPr>
                <w:rFonts w:ascii="Arial" w:hAnsi="Arial" w:cs="Arial"/>
                <w:sz w:val="22"/>
                <w:szCs w:val="22"/>
              </w:rPr>
            </w:pPr>
            <w:r w:rsidRPr="00D40E65">
              <w:rPr>
                <w:rFonts w:ascii="Arial" w:hAnsi="Arial" w:cs="Arial"/>
                <w:sz w:val="22"/>
                <w:szCs w:val="22"/>
              </w:rPr>
              <w:t xml:space="preserve">Scottish Vocational Qualifications </w:t>
            </w:r>
          </w:p>
          <w:p w:rsidR="00ED0E87" w:rsidRPr="00D40E65" w:rsidRDefault="00ED0E87" w:rsidP="00ED0E87">
            <w:pPr>
              <w:numPr>
                <w:ilvl w:val="0"/>
                <w:numId w:val="15"/>
              </w:numPr>
              <w:rPr>
                <w:rFonts w:ascii="Arial" w:hAnsi="Arial" w:cs="Arial"/>
                <w:sz w:val="22"/>
                <w:szCs w:val="22"/>
              </w:rPr>
            </w:pPr>
            <w:r w:rsidRPr="00D40E65">
              <w:rPr>
                <w:rFonts w:ascii="Arial" w:hAnsi="Arial" w:cs="Arial"/>
                <w:sz w:val="22"/>
                <w:szCs w:val="22"/>
              </w:rPr>
              <w:t>Institute of L</w:t>
            </w:r>
            <w:r>
              <w:rPr>
                <w:rFonts w:ascii="Arial" w:hAnsi="Arial" w:cs="Arial"/>
                <w:sz w:val="22"/>
                <w:szCs w:val="22"/>
              </w:rPr>
              <w:t>eadership and</w:t>
            </w:r>
            <w:r w:rsidRPr="00D40E65">
              <w:rPr>
                <w:rFonts w:ascii="Arial" w:hAnsi="Arial" w:cs="Arial"/>
                <w:sz w:val="22"/>
                <w:szCs w:val="22"/>
              </w:rPr>
              <w:t xml:space="preserve"> Management </w:t>
            </w:r>
            <w:r>
              <w:rPr>
                <w:rFonts w:ascii="Arial" w:hAnsi="Arial" w:cs="Arial"/>
                <w:sz w:val="22"/>
                <w:szCs w:val="22"/>
              </w:rPr>
              <w:t>Qualifications</w:t>
            </w:r>
          </w:p>
          <w:p w:rsidR="00ED0E87" w:rsidRDefault="00ED0E87" w:rsidP="00ED0E87">
            <w:pPr>
              <w:numPr>
                <w:ilvl w:val="0"/>
                <w:numId w:val="15"/>
              </w:numPr>
              <w:rPr>
                <w:rFonts w:ascii="Arial" w:hAnsi="Arial" w:cs="Arial"/>
                <w:sz w:val="22"/>
                <w:szCs w:val="22"/>
              </w:rPr>
            </w:pPr>
            <w:r w:rsidRPr="00D40E65">
              <w:rPr>
                <w:rFonts w:ascii="Arial" w:hAnsi="Arial" w:cs="Arial"/>
                <w:sz w:val="22"/>
                <w:szCs w:val="22"/>
              </w:rPr>
              <w:t>Middle Manage</w:t>
            </w:r>
            <w:r>
              <w:rPr>
                <w:rFonts w:ascii="Arial" w:hAnsi="Arial" w:cs="Arial"/>
                <w:sz w:val="22"/>
                <w:szCs w:val="22"/>
              </w:rPr>
              <w:t>r</w:t>
            </w:r>
            <w:r w:rsidRPr="00D40E65">
              <w:rPr>
                <w:rFonts w:ascii="Arial" w:hAnsi="Arial" w:cs="Arial"/>
                <w:sz w:val="22"/>
                <w:szCs w:val="22"/>
              </w:rPr>
              <w:t xml:space="preserve"> Development Programme</w:t>
            </w:r>
          </w:p>
          <w:p w:rsidR="00ED0E87" w:rsidRPr="00D40E65" w:rsidRDefault="00ED0E87" w:rsidP="00ED0E87">
            <w:pPr>
              <w:numPr>
                <w:ilvl w:val="0"/>
                <w:numId w:val="15"/>
              </w:numPr>
              <w:rPr>
                <w:rFonts w:ascii="Arial" w:hAnsi="Arial" w:cs="Arial"/>
                <w:sz w:val="22"/>
                <w:szCs w:val="22"/>
              </w:rPr>
            </w:pPr>
            <w:r>
              <w:rPr>
                <w:rFonts w:ascii="Arial" w:hAnsi="Arial" w:cs="Arial"/>
                <w:sz w:val="22"/>
                <w:szCs w:val="22"/>
              </w:rPr>
              <w:t>First Line Manager Programme</w:t>
            </w:r>
          </w:p>
          <w:p w:rsidR="00EA2D8D" w:rsidRDefault="00ED0E87" w:rsidP="00EA2D8D">
            <w:pPr>
              <w:numPr>
                <w:ilvl w:val="0"/>
                <w:numId w:val="15"/>
              </w:numPr>
              <w:rPr>
                <w:rFonts w:ascii="Arial" w:hAnsi="Arial" w:cs="Arial"/>
                <w:sz w:val="22"/>
                <w:szCs w:val="22"/>
              </w:rPr>
            </w:pPr>
            <w:r w:rsidRPr="00D40E65">
              <w:rPr>
                <w:rFonts w:ascii="Arial" w:hAnsi="Arial" w:cs="Arial"/>
                <w:sz w:val="22"/>
                <w:szCs w:val="22"/>
              </w:rPr>
              <w:t>Administrative Officer Development Programme</w:t>
            </w:r>
          </w:p>
          <w:p w:rsidR="00EA2D8D" w:rsidRPr="00EA2D8D" w:rsidRDefault="00EA2D8D" w:rsidP="00EA2D8D">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ED0E87" w:rsidRDefault="00ED0E87" w:rsidP="00364ED2">
            <w:pPr>
              <w:rPr>
                <w:rFonts w:ascii="Arial" w:hAnsi="Arial" w:cs="Arial"/>
                <w:sz w:val="22"/>
                <w:szCs w:val="22"/>
              </w:rPr>
            </w:pPr>
            <w:r w:rsidRPr="00E21DE7">
              <w:rPr>
                <w:rFonts w:ascii="Arial" w:hAnsi="Arial" w:cs="Arial"/>
                <w:sz w:val="22"/>
                <w:szCs w:val="22"/>
              </w:rPr>
              <w:t xml:space="preserve">Success threshold for achievement of green criteria increased by 50% </w:t>
            </w:r>
            <w:r w:rsidR="00EA2D8D">
              <w:rPr>
                <w:rFonts w:ascii="Arial" w:hAnsi="Arial" w:cs="Arial"/>
                <w:sz w:val="22"/>
                <w:szCs w:val="22"/>
              </w:rPr>
              <w:t>in 2014</w:t>
            </w:r>
            <w:r w:rsidR="00EA2D8D" w:rsidRPr="00E21DE7">
              <w:rPr>
                <w:rFonts w:ascii="Arial" w:hAnsi="Arial" w:cs="Arial"/>
                <w:sz w:val="22"/>
                <w:szCs w:val="22"/>
              </w:rPr>
              <w:t xml:space="preserve"> </w:t>
            </w:r>
            <w:r w:rsidRPr="00E21DE7">
              <w:rPr>
                <w:rFonts w:ascii="Arial" w:hAnsi="Arial" w:cs="Arial"/>
                <w:sz w:val="22"/>
                <w:szCs w:val="22"/>
              </w:rPr>
              <w:t>(from 22% to 33%)</w:t>
            </w:r>
            <w:r w:rsidR="00EA2D8D">
              <w:rPr>
                <w:rFonts w:ascii="Arial" w:hAnsi="Arial" w:cs="Arial"/>
                <w:sz w:val="22"/>
                <w:szCs w:val="22"/>
              </w:rPr>
              <w:t xml:space="preserve"> </w:t>
            </w:r>
            <w:r w:rsidRPr="00E21DE7">
              <w:rPr>
                <w:rFonts w:ascii="Arial" w:hAnsi="Arial" w:cs="Arial"/>
                <w:sz w:val="22"/>
                <w:szCs w:val="22"/>
              </w:rPr>
              <w:t xml:space="preserve">in recognition of significant progress made. </w:t>
            </w:r>
          </w:p>
          <w:p w:rsidR="00ED0E87" w:rsidRDefault="00ED0E87" w:rsidP="00364ED2">
            <w:pPr>
              <w:rPr>
                <w:rFonts w:ascii="Arial" w:hAnsi="Arial" w:cs="Arial"/>
                <w:sz w:val="22"/>
                <w:szCs w:val="22"/>
              </w:rPr>
            </w:pPr>
          </w:p>
          <w:p w:rsidR="00ED0E87" w:rsidRPr="00D40E65" w:rsidRDefault="00ED0E87" w:rsidP="00364ED2">
            <w:pPr>
              <w:rPr>
                <w:rFonts w:ascii="Arial" w:hAnsi="Arial" w:cs="Arial"/>
                <w:sz w:val="22"/>
                <w:szCs w:val="22"/>
              </w:rPr>
            </w:pPr>
            <w:r>
              <w:rPr>
                <w:rFonts w:ascii="Arial" w:hAnsi="Arial" w:cs="Arial"/>
                <w:sz w:val="22"/>
                <w:szCs w:val="22"/>
              </w:rPr>
              <w:t xml:space="preserve">Red – </w:t>
            </w:r>
            <w:r w:rsidRPr="00EC5765">
              <w:rPr>
                <w:rFonts w:ascii="Arial" w:hAnsi="Arial" w:cs="Arial"/>
                <w:sz w:val="22"/>
                <w:szCs w:val="22"/>
              </w:rPr>
              <w:t>Less than 30% of staff</w:t>
            </w:r>
          </w:p>
          <w:p w:rsidR="00ED0E87" w:rsidRPr="00D40E65" w:rsidRDefault="00ED0E87" w:rsidP="00364ED2">
            <w:pPr>
              <w:rPr>
                <w:rFonts w:ascii="Arial" w:hAnsi="Arial" w:cs="Arial"/>
                <w:sz w:val="22"/>
                <w:szCs w:val="22"/>
              </w:rPr>
            </w:pPr>
            <w:r w:rsidRPr="00D40E65">
              <w:rPr>
                <w:rFonts w:ascii="Arial" w:hAnsi="Arial" w:cs="Arial"/>
                <w:sz w:val="22"/>
                <w:szCs w:val="22"/>
              </w:rPr>
              <w:t>Amber –</w:t>
            </w:r>
            <w:r>
              <w:rPr>
                <w:rFonts w:ascii="Arial" w:hAnsi="Arial" w:cs="Arial"/>
                <w:sz w:val="22"/>
                <w:szCs w:val="22"/>
              </w:rPr>
              <w:t xml:space="preserve"> </w:t>
            </w:r>
            <w:r w:rsidRPr="00EC5765">
              <w:rPr>
                <w:rFonts w:ascii="Arial" w:hAnsi="Arial" w:cs="Arial"/>
                <w:sz w:val="22"/>
                <w:szCs w:val="22"/>
              </w:rPr>
              <w:t>30-33% of staff</w:t>
            </w:r>
          </w:p>
          <w:p w:rsidR="00ED0E87" w:rsidRDefault="00ED0E87" w:rsidP="00364ED2">
            <w:pPr>
              <w:rPr>
                <w:rFonts w:ascii="Arial" w:hAnsi="Arial" w:cs="Arial"/>
                <w:sz w:val="22"/>
                <w:szCs w:val="22"/>
              </w:rPr>
            </w:pPr>
            <w:r w:rsidRPr="00D40E65">
              <w:rPr>
                <w:rFonts w:ascii="Arial" w:hAnsi="Arial" w:cs="Arial"/>
                <w:sz w:val="22"/>
                <w:szCs w:val="22"/>
              </w:rPr>
              <w:t xml:space="preserve">Green – </w:t>
            </w:r>
            <w:r w:rsidRPr="00EC5765">
              <w:rPr>
                <w:rFonts w:ascii="Arial" w:hAnsi="Arial" w:cs="Arial"/>
                <w:sz w:val="22"/>
                <w:szCs w:val="22"/>
              </w:rPr>
              <w:t>More than  33% of staff</w:t>
            </w:r>
          </w:p>
          <w:p w:rsidR="00EA2D8D" w:rsidRPr="00D40E65" w:rsidRDefault="00EA2D8D"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EA2D8D" w:rsidRPr="00D40E65" w:rsidRDefault="00EA2D8D"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EA2D8D" w:rsidRPr="00D40E65" w:rsidRDefault="00EA2D8D"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Other Comments</w:t>
            </w:r>
          </w:p>
        </w:tc>
        <w:tc>
          <w:tcPr>
            <w:tcW w:w="3073" w:type="pct"/>
          </w:tcPr>
          <w:p w:rsidR="00ED0E87" w:rsidRDefault="00ED0E87" w:rsidP="00364ED2">
            <w:pPr>
              <w:rPr>
                <w:rFonts w:ascii="Arial" w:hAnsi="Arial" w:cs="Arial"/>
                <w:sz w:val="22"/>
                <w:szCs w:val="22"/>
              </w:rPr>
            </w:pPr>
            <w:r>
              <w:rPr>
                <w:rFonts w:ascii="Arial" w:hAnsi="Arial" w:cs="Arial"/>
                <w:sz w:val="22"/>
                <w:szCs w:val="22"/>
              </w:rPr>
              <w:t>Rebased in 2014-15</w:t>
            </w:r>
          </w:p>
          <w:p w:rsidR="00EA2D8D" w:rsidRPr="00D40E65" w:rsidRDefault="00EA2D8D" w:rsidP="00364ED2">
            <w:pPr>
              <w:rPr>
                <w:rFonts w:ascii="Arial" w:hAnsi="Arial" w:cs="Arial"/>
                <w:sz w:val="22"/>
                <w:szCs w:val="22"/>
              </w:rPr>
            </w:pPr>
          </w:p>
        </w:tc>
      </w:tr>
    </w:tbl>
    <w:p w:rsidR="00ED0E87" w:rsidRDefault="00ED0E87" w:rsidP="00ED0E87">
      <w:pPr>
        <w:rPr>
          <w:rFonts w:ascii="Arial" w:hAnsi="Arial" w:cs="Arial"/>
          <w:sz w:val="22"/>
          <w:szCs w:val="22"/>
        </w:rPr>
      </w:pPr>
    </w:p>
    <w:p w:rsidR="00EA2D8D" w:rsidRDefault="00EA2D8D" w:rsidP="00ED0E87">
      <w:pPr>
        <w:rPr>
          <w:rFonts w:ascii="Arial" w:hAnsi="Arial" w:cs="Arial"/>
          <w:sz w:val="22"/>
          <w:szCs w:val="22"/>
        </w:rPr>
        <w:sectPr w:rsidR="00EA2D8D">
          <w:pgSz w:w="11906" w:h="16838"/>
          <w:pgMar w:top="1440" w:right="1800" w:bottom="1440" w:left="1800" w:header="708" w:footer="708" w:gutter="0"/>
          <w:cols w:space="708"/>
          <w:docGrid w:linePitch="360"/>
        </w:sectPr>
      </w:pPr>
    </w:p>
    <w:p w:rsidR="00B81250" w:rsidRDefault="00B81250"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ED0E87" w:rsidRPr="00D40E65" w:rsidTr="00993EC3">
        <w:tc>
          <w:tcPr>
            <w:tcW w:w="1927" w:type="pct"/>
            <w:shd w:val="clear" w:color="auto" w:fill="0FC1A3"/>
          </w:tcPr>
          <w:p w:rsidR="00ED0E87" w:rsidRPr="00D40E65" w:rsidRDefault="00ED0E87" w:rsidP="00162868">
            <w:pPr>
              <w:rPr>
                <w:rFonts w:ascii="Arial" w:hAnsi="Arial" w:cs="Arial"/>
                <w:b/>
                <w:sz w:val="22"/>
                <w:szCs w:val="22"/>
              </w:rPr>
            </w:pPr>
            <w:r w:rsidRPr="00940BCB">
              <w:rPr>
                <w:rFonts w:ascii="Arial" w:hAnsi="Arial" w:cs="Arial"/>
                <w:b/>
                <w:szCs w:val="22"/>
              </w:rPr>
              <w:t>Strategic Priority 4</w:t>
            </w:r>
          </w:p>
        </w:tc>
        <w:tc>
          <w:tcPr>
            <w:tcW w:w="3073" w:type="pct"/>
            <w:shd w:val="clear" w:color="auto" w:fill="0FC1A3"/>
          </w:tcPr>
          <w:p w:rsidR="00ED0E87" w:rsidRDefault="00ED0E87" w:rsidP="00364ED2">
            <w:pPr>
              <w:rPr>
                <w:rFonts w:ascii="Arial" w:hAnsi="Arial" w:cs="Arial"/>
                <w:b/>
                <w:szCs w:val="22"/>
                <w:shd w:val="clear" w:color="auto" w:fill="0FC1A3"/>
              </w:rPr>
            </w:pPr>
            <w:r w:rsidRPr="00940BCB">
              <w:rPr>
                <w:rFonts w:ascii="Arial" w:hAnsi="Arial" w:cs="Arial"/>
                <w:b/>
                <w:szCs w:val="22"/>
              </w:rPr>
              <w:t xml:space="preserve">A </w:t>
            </w:r>
            <w:r w:rsidRPr="00993EC3">
              <w:rPr>
                <w:rFonts w:ascii="Arial" w:hAnsi="Arial" w:cs="Arial"/>
                <w:b/>
                <w:szCs w:val="22"/>
                <w:shd w:val="clear" w:color="auto" w:fill="0FC1A3"/>
              </w:rPr>
              <w:t>Well-managed Estate</w:t>
            </w:r>
          </w:p>
          <w:p w:rsidR="00EA2D8D" w:rsidRPr="00D40E65" w:rsidRDefault="00EA2D8D" w:rsidP="00364ED2">
            <w:pPr>
              <w:rPr>
                <w:rFonts w:ascii="Arial" w:hAnsi="Arial" w:cs="Arial"/>
                <w:b/>
                <w:sz w:val="22"/>
                <w:szCs w:val="22"/>
              </w:rPr>
            </w:pPr>
          </w:p>
        </w:tc>
      </w:tr>
      <w:tr w:rsidR="00ED0E87" w:rsidRPr="00D40E65" w:rsidTr="00364ED2">
        <w:tc>
          <w:tcPr>
            <w:tcW w:w="1927" w:type="pct"/>
          </w:tcPr>
          <w:p w:rsidR="00ED0E87" w:rsidRPr="009E5460" w:rsidRDefault="00ED0E87" w:rsidP="00364ED2">
            <w:pPr>
              <w:rPr>
                <w:rFonts w:ascii="Arial" w:hAnsi="Arial" w:cs="Arial"/>
                <w:b/>
                <w:sz w:val="22"/>
                <w:szCs w:val="22"/>
              </w:rPr>
            </w:pPr>
            <w:r>
              <w:rPr>
                <w:rFonts w:ascii="Arial" w:hAnsi="Arial" w:cs="Arial"/>
                <w:b/>
                <w:sz w:val="22"/>
                <w:szCs w:val="22"/>
              </w:rPr>
              <w:t>Measure 4</w:t>
            </w:r>
            <w:r w:rsidR="006A6D8B">
              <w:rPr>
                <w:rFonts w:ascii="Arial" w:hAnsi="Arial" w:cs="Arial"/>
                <w:b/>
                <w:sz w:val="22"/>
                <w:szCs w:val="22"/>
              </w:rPr>
              <w:t>(</w:t>
            </w:r>
            <w:r>
              <w:rPr>
                <w:rFonts w:ascii="Arial" w:hAnsi="Arial" w:cs="Arial"/>
                <w:b/>
                <w:sz w:val="22"/>
                <w:szCs w:val="22"/>
              </w:rPr>
              <w:t>a</w:t>
            </w:r>
            <w:r w:rsidR="006A6D8B">
              <w:rPr>
                <w:rFonts w:ascii="Arial" w:hAnsi="Arial" w:cs="Arial"/>
                <w:b/>
                <w:sz w:val="22"/>
                <w:szCs w:val="22"/>
              </w:rPr>
              <w:t>)</w:t>
            </w:r>
          </w:p>
        </w:tc>
        <w:tc>
          <w:tcPr>
            <w:tcW w:w="3073" w:type="pct"/>
          </w:tcPr>
          <w:p w:rsidR="00ED0E87" w:rsidRDefault="00ED0E87" w:rsidP="00364ED2">
            <w:pPr>
              <w:rPr>
                <w:rFonts w:ascii="Arial" w:hAnsi="Arial" w:cs="Arial"/>
                <w:b/>
                <w:sz w:val="22"/>
                <w:szCs w:val="22"/>
              </w:rPr>
            </w:pPr>
            <w:r w:rsidRPr="00F45978">
              <w:rPr>
                <w:rFonts w:ascii="Arial" w:hAnsi="Arial" w:cs="Arial"/>
                <w:b/>
                <w:sz w:val="22"/>
                <w:szCs w:val="22"/>
              </w:rPr>
              <w:t>Maintaining the estate</w:t>
            </w:r>
          </w:p>
          <w:p w:rsidR="00B03D5C" w:rsidRPr="00B03D5C" w:rsidRDefault="00B03D5C" w:rsidP="00364ED2">
            <w:pPr>
              <w:rPr>
                <w:rFonts w:ascii="Arial" w:hAnsi="Arial" w:cs="Arial"/>
                <w:b/>
                <w:sz w:val="14"/>
                <w:szCs w:val="14"/>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 xml:space="preserve">The annual spend on estate </w:t>
            </w:r>
            <w:r w:rsidR="00A76ED1" w:rsidRPr="00D40E65">
              <w:rPr>
                <w:rFonts w:ascii="Arial" w:hAnsi="Arial" w:cs="Arial"/>
                <w:sz w:val="22"/>
                <w:szCs w:val="22"/>
              </w:rPr>
              <w:t xml:space="preserve">maintenance </w:t>
            </w:r>
            <w:r w:rsidR="005A6A0C">
              <w:rPr>
                <w:rFonts w:ascii="Arial" w:hAnsi="Arial" w:cs="Arial"/>
                <w:sz w:val="22"/>
                <w:szCs w:val="22"/>
              </w:rPr>
              <w:t xml:space="preserve">compared with the level of investment required to ensure </w:t>
            </w:r>
            <w:r w:rsidR="00ED7E30">
              <w:rPr>
                <w:rFonts w:ascii="Arial" w:hAnsi="Arial" w:cs="Arial"/>
                <w:sz w:val="22"/>
                <w:szCs w:val="22"/>
              </w:rPr>
              <w:t xml:space="preserve">the maintenance </w:t>
            </w:r>
            <w:r w:rsidR="005A6A0C">
              <w:rPr>
                <w:rFonts w:ascii="Arial" w:hAnsi="Arial" w:cs="Arial"/>
                <w:sz w:val="22"/>
                <w:szCs w:val="22"/>
              </w:rPr>
              <w:t>backlog do</w:t>
            </w:r>
            <w:r w:rsidR="00ED7E30">
              <w:rPr>
                <w:rFonts w:ascii="Arial" w:hAnsi="Arial" w:cs="Arial"/>
                <w:sz w:val="22"/>
                <w:szCs w:val="22"/>
              </w:rPr>
              <w:t>es</w:t>
            </w:r>
            <w:r w:rsidR="005A6A0C">
              <w:rPr>
                <w:rFonts w:ascii="Arial" w:hAnsi="Arial" w:cs="Arial"/>
                <w:sz w:val="22"/>
                <w:szCs w:val="22"/>
              </w:rPr>
              <w:t xml:space="preserve"> not increase.</w:t>
            </w:r>
          </w:p>
          <w:p w:rsidR="00E60A89" w:rsidRPr="00D40E65" w:rsidRDefault="00E60A89"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B81250" w:rsidRDefault="00B81250" w:rsidP="00B81250">
            <w:pPr>
              <w:rPr>
                <w:rFonts w:ascii="Arial" w:hAnsi="Arial" w:cs="Arial"/>
                <w:sz w:val="22"/>
                <w:szCs w:val="22"/>
              </w:rPr>
            </w:pPr>
          </w:p>
          <w:p w:rsidR="00ED0E87" w:rsidRPr="00D40E65" w:rsidRDefault="00ED0E87" w:rsidP="00B81250">
            <w:pPr>
              <w:rPr>
                <w:rFonts w:ascii="Arial" w:hAnsi="Arial" w:cs="Arial"/>
                <w:sz w:val="22"/>
                <w:szCs w:val="22"/>
              </w:rPr>
            </w:pP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 xml:space="preserve">This indicator will demonstrate how well </w:t>
            </w:r>
            <w:r>
              <w:rPr>
                <w:rFonts w:ascii="Arial" w:hAnsi="Arial" w:cs="Arial"/>
                <w:sz w:val="22"/>
                <w:szCs w:val="22"/>
              </w:rPr>
              <w:t xml:space="preserve">the </w:t>
            </w:r>
            <w:r w:rsidRPr="00D40E65">
              <w:rPr>
                <w:rFonts w:ascii="Arial" w:hAnsi="Arial" w:cs="Arial"/>
                <w:sz w:val="22"/>
                <w:szCs w:val="22"/>
              </w:rPr>
              <w:t>SC</w:t>
            </w:r>
            <w:r w:rsidR="002401DA">
              <w:rPr>
                <w:rFonts w:ascii="Arial" w:hAnsi="Arial" w:cs="Arial"/>
                <w:sz w:val="22"/>
                <w:szCs w:val="22"/>
              </w:rPr>
              <w:t>T</w:t>
            </w:r>
            <w:r w:rsidRPr="00D40E65">
              <w:rPr>
                <w:rFonts w:ascii="Arial" w:hAnsi="Arial" w:cs="Arial"/>
                <w:sz w:val="22"/>
                <w:szCs w:val="22"/>
              </w:rPr>
              <w:t xml:space="preserve">S </w:t>
            </w:r>
            <w:r>
              <w:rPr>
                <w:rFonts w:ascii="Arial" w:hAnsi="Arial" w:cs="Arial"/>
                <w:sz w:val="22"/>
                <w:szCs w:val="22"/>
              </w:rPr>
              <w:t>is managing</w:t>
            </w:r>
            <w:r w:rsidRPr="00D40E65">
              <w:rPr>
                <w:rFonts w:ascii="Arial" w:hAnsi="Arial" w:cs="Arial"/>
                <w:sz w:val="22"/>
                <w:szCs w:val="22"/>
              </w:rPr>
              <w:t xml:space="preserve"> its repair and maintenance programme</w:t>
            </w:r>
            <w:r w:rsidR="005A6A0C">
              <w:rPr>
                <w:rFonts w:ascii="Arial" w:hAnsi="Arial" w:cs="Arial"/>
                <w:sz w:val="22"/>
                <w:szCs w:val="22"/>
              </w:rPr>
              <w:t>,</w:t>
            </w:r>
            <w:r w:rsidRPr="00D40E65">
              <w:rPr>
                <w:rFonts w:ascii="Arial" w:hAnsi="Arial" w:cs="Arial"/>
                <w:sz w:val="22"/>
                <w:szCs w:val="22"/>
              </w:rPr>
              <w:t xml:space="preserve"> taking into</w:t>
            </w:r>
            <w:r w:rsidR="00E60A89">
              <w:rPr>
                <w:rFonts w:ascii="Arial" w:hAnsi="Arial" w:cs="Arial"/>
                <w:sz w:val="22"/>
                <w:szCs w:val="22"/>
              </w:rPr>
              <w:t xml:space="preserve"> account budgetary constraints.</w:t>
            </w:r>
          </w:p>
          <w:p w:rsidR="00E60A89" w:rsidRPr="00D40E65" w:rsidRDefault="00E60A89" w:rsidP="00364ED2">
            <w:pPr>
              <w:rPr>
                <w:rFonts w:ascii="Arial" w:hAnsi="Arial" w:cs="Arial"/>
                <w:sz w:val="22"/>
                <w:szCs w:val="22"/>
              </w:rPr>
            </w:pPr>
          </w:p>
          <w:p w:rsidR="00ED0E87" w:rsidRDefault="00FA4922" w:rsidP="00364ED2">
            <w:pPr>
              <w:rPr>
                <w:rFonts w:ascii="Arial" w:hAnsi="Arial" w:cs="Arial"/>
                <w:sz w:val="22"/>
                <w:szCs w:val="22"/>
              </w:rPr>
            </w:pPr>
            <w:r>
              <w:rPr>
                <w:rFonts w:ascii="Arial" w:hAnsi="Arial" w:cs="Arial"/>
                <w:sz w:val="22"/>
                <w:szCs w:val="22"/>
              </w:rPr>
              <w:t>High levels of m</w:t>
            </w:r>
            <w:r w:rsidR="00ED0E87" w:rsidRPr="00D40E65">
              <w:rPr>
                <w:rFonts w:ascii="Arial" w:hAnsi="Arial" w:cs="Arial"/>
                <w:sz w:val="22"/>
                <w:szCs w:val="22"/>
              </w:rPr>
              <w:t xml:space="preserve">aintenance </w:t>
            </w:r>
            <w:r w:rsidR="00ED0E87">
              <w:rPr>
                <w:rFonts w:ascii="Arial" w:hAnsi="Arial" w:cs="Arial"/>
                <w:sz w:val="22"/>
                <w:szCs w:val="22"/>
              </w:rPr>
              <w:t>activity will</w:t>
            </w:r>
            <w:r w:rsidR="00ED0E87" w:rsidRPr="00D40E65">
              <w:rPr>
                <w:rFonts w:ascii="Arial" w:hAnsi="Arial" w:cs="Arial"/>
                <w:sz w:val="22"/>
                <w:szCs w:val="22"/>
              </w:rPr>
              <w:t xml:space="preserve"> reduce the </w:t>
            </w:r>
            <w:r w:rsidR="00ED0E87">
              <w:rPr>
                <w:rFonts w:ascii="Arial" w:hAnsi="Arial" w:cs="Arial"/>
                <w:sz w:val="22"/>
                <w:szCs w:val="22"/>
              </w:rPr>
              <w:t xml:space="preserve">overall </w:t>
            </w:r>
            <w:r w:rsidR="00ED0E87" w:rsidRPr="00D40E65">
              <w:rPr>
                <w:rFonts w:ascii="Arial" w:hAnsi="Arial" w:cs="Arial"/>
                <w:sz w:val="22"/>
                <w:szCs w:val="22"/>
              </w:rPr>
              <w:t xml:space="preserve">backlog </w:t>
            </w:r>
            <w:r w:rsidR="00ED0E87">
              <w:rPr>
                <w:rFonts w:ascii="Arial" w:hAnsi="Arial" w:cs="Arial"/>
                <w:sz w:val="22"/>
                <w:szCs w:val="22"/>
              </w:rPr>
              <w:t>maintenance required on the estate</w:t>
            </w:r>
            <w:r>
              <w:rPr>
                <w:rFonts w:ascii="Arial" w:hAnsi="Arial" w:cs="Arial"/>
                <w:sz w:val="22"/>
                <w:szCs w:val="22"/>
              </w:rPr>
              <w:t xml:space="preserve"> –</w:t>
            </w:r>
            <w:r w:rsidR="00ED0E87">
              <w:rPr>
                <w:rFonts w:ascii="Arial" w:hAnsi="Arial" w:cs="Arial"/>
                <w:sz w:val="22"/>
                <w:szCs w:val="22"/>
              </w:rPr>
              <w:t xml:space="preserve"> if the rate of maintenance activity is running ahead of the rate of deterioration of the estate.</w:t>
            </w:r>
          </w:p>
          <w:p w:rsidR="00E60A89" w:rsidRPr="00D40E65" w:rsidRDefault="00E60A89"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Director Property Services Unit</w:t>
            </w:r>
          </w:p>
          <w:p w:rsidR="00E60A89" w:rsidRPr="00D40E65" w:rsidRDefault="00E60A89"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E60A89" w:rsidRDefault="00ED0E87" w:rsidP="00364ED2">
            <w:pPr>
              <w:rPr>
                <w:rFonts w:ascii="Arial" w:hAnsi="Arial" w:cs="Arial"/>
                <w:sz w:val="22"/>
                <w:szCs w:val="22"/>
              </w:rPr>
            </w:pPr>
            <w:r w:rsidRPr="00A91F13">
              <w:rPr>
                <w:rFonts w:ascii="Arial" w:hAnsi="Arial" w:cs="Arial"/>
                <w:sz w:val="22"/>
                <w:szCs w:val="22"/>
              </w:rPr>
              <w:t xml:space="preserve">Following an independent survey of the Estate, a total figure for all backlog maintenance of £57m was established </w:t>
            </w:r>
            <w:r w:rsidRPr="008618EF">
              <w:rPr>
                <w:rFonts w:ascii="Arial" w:hAnsi="Arial" w:cs="Arial"/>
                <w:color w:val="000000" w:themeColor="text1"/>
                <w:sz w:val="22"/>
                <w:szCs w:val="22"/>
              </w:rPr>
              <w:t>for 2012-13</w:t>
            </w:r>
            <w:r w:rsidR="00E60A89">
              <w:rPr>
                <w:rFonts w:ascii="Arial" w:hAnsi="Arial" w:cs="Arial"/>
                <w:color w:val="FF0000"/>
                <w:sz w:val="22"/>
                <w:szCs w:val="22"/>
              </w:rPr>
              <w:t>.</w:t>
            </w:r>
            <w:r w:rsidRPr="00A91F13">
              <w:rPr>
                <w:rFonts w:ascii="Arial" w:hAnsi="Arial" w:cs="Arial"/>
                <w:sz w:val="22"/>
                <w:szCs w:val="22"/>
              </w:rPr>
              <w:t xml:space="preserve"> </w:t>
            </w:r>
            <w:r w:rsidR="00E60A89">
              <w:rPr>
                <w:rFonts w:ascii="Arial" w:hAnsi="Arial" w:cs="Arial"/>
                <w:sz w:val="22"/>
                <w:szCs w:val="22"/>
              </w:rPr>
              <w:t xml:space="preserve"> </w:t>
            </w:r>
            <w:r w:rsidR="00351BFC">
              <w:rPr>
                <w:rFonts w:ascii="Arial" w:hAnsi="Arial" w:cs="Arial"/>
                <w:sz w:val="22"/>
                <w:szCs w:val="22"/>
              </w:rPr>
              <w:t>Between 2013-14 and 2015</w:t>
            </w:r>
            <w:r w:rsidR="00A11E0E">
              <w:rPr>
                <w:rFonts w:ascii="Arial" w:hAnsi="Arial" w:cs="Arial"/>
                <w:sz w:val="22"/>
                <w:szCs w:val="22"/>
              </w:rPr>
              <w:t>-1</w:t>
            </w:r>
            <w:r w:rsidR="00351BFC">
              <w:rPr>
                <w:rFonts w:ascii="Arial" w:hAnsi="Arial" w:cs="Arial"/>
                <w:sz w:val="22"/>
                <w:szCs w:val="22"/>
              </w:rPr>
              <w:t>6</w:t>
            </w:r>
            <w:r w:rsidR="00A11E0E">
              <w:rPr>
                <w:rFonts w:ascii="Arial" w:hAnsi="Arial" w:cs="Arial"/>
                <w:sz w:val="22"/>
                <w:szCs w:val="22"/>
              </w:rPr>
              <w:t xml:space="preserve"> careful use of resources reduced that backlog</w:t>
            </w:r>
            <w:r w:rsidR="00A82B2E">
              <w:rPr>
                <w:rFonts w:ascii="Arial" w:hAnsi="Arial" w:cs="Arial"/>
                <w:sz w:val="22"/>
                <w:szCs w:val="22"/>
              </w:rPr>
              <w:t xml:space="preserve"> by over 30%</w:t>
            </w:r>
            <w:r w:rsidR="00351BFC">
              <w:rPr>
                <w:rFonts w:ascii="Arial" w:hAnsi="Arial" w:cs="Arial"/>
                <w:sz w:val="22"/>
                <w:szCs w:val="22"/>
              </w:rPr>
              <w:t xml:space="preserve"> to £37</w:t>
            </w:r>
            <w:r w:rsidR="00A11E0E">
              <w:rPr>
                <w:rFonts w:ascii="Arial" w:hAnsi="Arial" w:cs="Arial"/>
                <w:sz w:val="22"/>
                <w:szCs w:val="22"/>
              </w:rPr>
              <w:t>m.  As budgets tighten further</w:t>
            </w:r>
            <w:r w:rsidRPr="00A91F13">
              <w:rPr>
                <w:rFonts w:ascii="Arial" w:hAnsi="Arial" w:cs="Arial"/>
                <w:sz w:val="22"/>
                <w:szCs w:val="22"/>
              </w:rPr>
              <w:t xml:space="preserve"> spend on the estate </w:t>
            </w:r>
            <w:r w:rsidR="00A82B2E">
              <w:rPr>
                <w:rFonts w:ascii="Arial" w:hAnsi="Arial" w:cs="Arial"/>
                <w:sz w:val="22"/>
                <w:szCs w:val="22"/>
              </w:rPr>
              <w:t>will be</w:t>
            </w:r>
            <w:r w:rsidRPr="00A91F13">
              <w:rPr>
                <w:rFonts w:ascii="Arial" w:hAnsi="Arial" w:cs="Arial"/>
                <w:sz w:val="22"/>
                <w:szCs w:val="22"/>
              </w:rPr>
              <w:t xml:space="preserve"> </w:t>
            </w:r>
            <w:r w:rsidR="00E60A89">
              <w:rPr>
                <w:rFonts w:ascii="Arial" w:hAnsi="Arial" w:cs="Arial"/>
                <w:sz w:val="22"/>
                <w:szCs w:val="22"/>
              </w:rPr>
              <w:t xml:space="preserve">largely </w:t>
            </w:r>
            <w:r w:rsidRPr="00A91F13">
              <w:rPr>
                <w:rFonts w:ascii="Arial" w:hAnsi="Arial" w:cs="Arial"/>
                <w:sz w:val="22"/>
                <w:szCs w:val="22"/>
              </w:rPr>
              <w:t>confined to essential backlog maintenance and statutory compliance.</w:t>
            </w:r>
          </w:p>
          <w:p w:rsidR="00E60A89" w:rsidRDefault="00E60A89" w:rsidP="00364ED2">
            <w:pPr>
              <w:rPr>
                <w:rFonts w:ascii="Arial" w:hAnsi="Arial" w:cs="Arial"/>
                <w:sz w:val="22"/>
                <w:szCs w:val="22"/>
              </w:rPr>
            </w:pPr>
          </w:p>
          <w:p w:rsidR="00990800" w:rsidRPr="00990800" w:rsidRDefault="00990800" w:rsidP="00990800">
            <w:pPr>
              <w:rPr>
                <w:rFonts w:ascii="Arial" w:hAnsi="Arial" w:cs="Arial"/>
                <w:sz w:val="22"/>
                <w:szCs w:val="22"/>
              </w:rPr>
            </w:pPr>
            <w:r w:rsidRPr="00990800">
              <w:rPr>
                <w:rFonts w:ascii="Arial" w:hAnsi="Arial" w:cs="Arial"/>
                <w:sz w:val="22"/>
                <w:szCs w:val="22"/>
              </w:rPr>
              <w:t>Based on the paper “A Financially Sustainable Estate” approved in September 2008 the annual target on backlog maintenance has been set at 1% of the total insurance replacement value of the estate per year.</w:t>
            </w:r>
          </w:p>
          <w:p w:rsidR="00B03D5C" w:rsidRDefault="00B03D5C" w:rsidP="00B03D5C">
            <w:pPr>
              <w:rPr>
                <w:rFonts w:ascii="Arial" w:hAnsi="Arial" w:cs="Arial"/>
                <w:sz w:val="22"/>
                <w:szCs w:val="22"/>
              </w:rPr>
            </w:pPr>
          </w:p>
          <w:p w:rsidR="00B03D5C" w:rsidRDefault="00B03D5C" w:rsidP="00B03D5C">
            <w:pPr>
              <w:rPr>
                <w:rFonts w:ascii="Arial" w:hAnsi="Arial" w:cs="Arial"/>
                <w:sz w:val="22"/>
                <w:szCs w:val="22"/>
              </w:rPr>
            </w:pPr>
            <w:r>
              <w:rPr>
                <w:rFonts w:ascii="Arial" w:hAnsi="Arial" w:cs="Arial"/>
                <w:sz w:val="22"/>
                <w:szCs w:val="22"/>
              </w:rPr>
              <w:t>If the 1% figure is met this means that backlog maintenance will neither increase nor decrease over the course of the year.  Any excess will reduce the backlog and any shortfall will increase it</w:t>
            </w:r>
          </w:p>
          <w:p w:rsidR="00B03D5C" w:rsidRDefault="00B03D5C" w:rsidP="00B03D5C">
            <w:pPr>
              <w:rPr>
                <w:rFonts w:ascii="Arial" w:hAnsi="Arial" w:cs="Arial"/>
                <w:sz w:val="22"/>
                <w:szCs w:val="22"/>
              </w:rPr>
            </w:pPr>
          </w:p>
          <w:p w:rsidR="00B03D5C" w:rsidRPr="00D40E65" w:rsidRDefault="00B03D5C" w:rsidP="00B03D5C">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A11E0E" w:rsidRDefault="00ED0E87" w:rsidP="00364ED2">
            <w:pPr>
              <w:rPr>
                <w:rFonts w:ascii="Arial" w:hAnsi="Arial" w:cs="Arial"/>
                <w:sz w:val="22"/>
                <w:szCs w:val="22"/>
              </w:rPr>
            </w:pPr>
            <w:r w:rsidRPr="00D40E65">
              <w:rPr>
                <w:rFonts w:ascii="Arial" w:hAnsi="Arial" w:cs="Arial"/>
                <w:sz w:val="22"/>
                <w:szCs w:val="22"/>
              </w:rPr>
              <w:t xml:space="preserve">For each quarter the </w:t>
            </w:r>
            <w:r w:rsidR="00A11E0E" w:rsidRPr="00D40E65">
              <w:rPr>
                <w:rFonts w:ascii="Arial" w:hAnsi="Arial" w:cs="Arial"/>
                <w:sz w:val="22"/>
                <w:szCs w:val="22"/>
              </w:rPr>
              <w:t xml:space="preserve">year to date </w:t>
            </w:r>
            <w:r w:rsidR="00A11E0E">
              <w:rPr>
                <w:rFonts w:ascii="Arial" w:hAnsi="Arial" w:cs="Arial"/>
                <w:sz w:val="22"/>
                <w:szCs w:val="22"/>
              </w:rPr>
              <w:t xml:space="preserve">expenditure </w:t>
            </w:r>
            <w:r w:rsidR="00A82B2E">
              <w:rPr>
                <w:rFonts w:ascii="Arial" w:hAnsi="Arial" w:cs="Arial"/>
                <w:sz w:val="22"/>
                <w:szCs w:val="22"/>
              </w:rPr>
              <w:t xml:space="preserve">on essential </w:t>
            </w:r>
            <w:r w:rsidR="00A82B2E" w:rsidRPr="00D40E65">
              <w:rPr>
                <w:rFonts w:ascii="Arial" w:hAnsi="Arial" w:cs="Arial"/>
                <w:sz w:val="22"/>
                <w:szCs w:val="22"/>
              </w:rPr>
              <w:t xml:space="preserve">maintenance </w:t>
            </w:r>
            <w:r w:rsidR="00A11E0E">
              <w:rPr>
                <w:rFonts w:ascii="Arial" w:hAnsi="Arial" w:cs="Arial"/>
                <w:sz w:val="22"/>
                <w:szCs w:val="22"/>
              </w:rPr>
              <w:t>and the expenditure</w:t>
            </w:r>
            <w:r w:rsidRPr="00D40E65">
              <w:rPr>
                <w:rFonts w:ascii="Arial" w:hAnsi="Arial" w:cs="Arial"/>
                <w:sz w:val="22"/>
                <w:szCs w:val="22"/>
              </w:rPr>
              <w:t xml:space="preserve"> forecast for the remainder of the financial year will be </w:t>
            </w:r>
            <w:r w:rsidR="00A82B2E">
              <w:rPr>
                <w:rFonts w:ascii="Arial" w:hAnsi="Arial" w:cs="Arial"/>
                <w:sz w:val="22"/>
                <w:szCs w:val="22"/>
              </w:rPr>
              <w:t>combine</w:t>
            </w:r>
            <w:r w:rsidR="00B03D5C">
              <w:rPr>
                <w:rFonts w:ascii="Arial" w:hAnsi="Arial" w:cs="Arial"/>
                <w:sz w:val="22"/>
                <w:szCs w:val="22"/>
              </w:rPr>
              <w:t>d</w:t>
            </w:r>
            <w:r w:rsidRPr="00D40E65">
              <w:rPr>
                <w:rFonts w:ascii="Arial" w:hAnsi="Arial" w:cs="Arial"/>
                <w:sz w:val="22"/>
                <w:szCs w:val="22"/>
              </w:rPr>
              <w:t xml:space="preserve"> to give an </w:t>
            </w:r>
            <w:r w:rsidRPr="00B03D5C">
              <w:rPr>
                <w:rFonts w:ascii="Arial" w:hAnsi="Arial" w:cs="Arial"/>
                <w:i/>
                <w:sz w:val="22"/>
                <w:szCs w:val="22"/>
              </w:rPr>
              <w:t xml:space="preserve">overall forecast of essential maintenance </w:t>
            </w:r>
            <w:r w:rsidR="00A11E0E" w:rsidRPr="00B03D5C">
              <w:rPr>
                <w:rFonts w:ascii="Arial" w:hAnsi="Arial" w:cs="Arial"/>
                <w:i/>
                <w:sz w:val="22"/>
                <w:szCs w:val="22"/>
              </w:rPr>
              <w:t>expenditure</w:t>
            </w:r>
            <w:r w:rsidRPr="00B03D5C">
              <w:rPr>
                <w:rFonts w:ascii="Arial" w:hAnsi="Arial" w:cs="Arial"/>
                <w:i/>
                <w:sz w:val="22"/>
                <w:szCs w:val="22"/>
              </w:rPr>
              <w:t xml:space="preserve"> </w:t>
            </w:r>
            <w:r w:rsidR="00A11E0E" w:rsidRPr="00B03D5C">
              <w:rPr>
                <w:rFonts w:ascii="Arial" w:hAnsi="Arial" w:cs="Arial"/>
                <w:i/>
                <w:sz w:val="22"/>
                <w:szCs w:val="22"/>
              </w:rPr>
              <w:t xml:space="preserve">for the </w:t>
            </w:r>
            <w:r w:rsidR="00B03D5C" w:rsidRPr="00B03D5C">
              <w:rPr>
                <w:rFonts w:ascii="Arial" w:hAnsi="Arial" w:cs="Arial"/>
                <w:i/>
                <w:sz w:val="22"/>
                <w:szCs w:val="22"/>
              </w:rPr>
              <w:t xml:space="preserve">full </w:t>
            </w:r>
            <w:r w:rsidR="00A11E0E" w:rsidRPr="00B03D5C">
              <w:rPr>
                <w:rFonts w:ascii="Arial" w:hAnsi="Arial" w:cs="Arial"/>
                <w:i/>
                <w:sz w:val="22"/>
                <w:szCs w:val="22"/>
              </w:rPr>
              <w:t>year</w:t>
            </w:r>
            <w:r w:rsidR="00A11E0E">
              <w:rPr>
                <w:rFonts w:ascii="Arial" w:hAnsi="Arial" w:cs="Arial"/>
                <w:sz w:val="22"/>
                <w:szCs w:val="22"/>
              </w:rPr>
              <w:t>.</w:t>
            </w:r>
          </w:p>
          <w:p w:rsidR="00A11E0E" w:rsidRDefault="00A11E0E" w:rsidP="00364ED2">
            <w:pPr>
              <w:rPr>
                <w:rFonts w:ascii="Arial" w:hAnsi="Arial" w:cs="Arial"/>
                <w:sz w:val="22"/>
                <w:szCs w:val="22"/>
              </w:rPr>
            </w:pPr>
          </w:p>
          <w:p w:rsidR="00E60A89" w:rsidRDefault="00ED0E87" w:rsidP="00364ED2">
            <w:pPr>
              <w:rPr>
                <w:rFonts w:ascii="Arial" w:hAnsi="Arial" w:cs="Arial"/>
                <w:sz w:val="22"/>
                <w:szCs w:val="22"/>
              </w:rPr>
            </w:pPr>
            <w:r w:rsidRPr="00D40E65">
              <w:rPr>
                <w:rFonts w:ascii="Arial" w:hAnsi="Arial" w:cs="Arial"/>
                <w:sz w:val="22"/>
                <w:szCs w:val="22"/>
              </w:rPr>
              <w:t xml:space="preserve">This will be divided by the </w:t>
            </w:r>
            <w:r w:rsidRPr="00B03D5C">
              <w:rPr>
                <w:rFonts w:ascii="Arial" w:hAnsi="Arial" w:cs="Arial"/>
                <w:i/>
                <w:sz w:val="22"/>
                <w:szCs w:val="22"/>
              </w:rPr>
              <w:t xml:space="preserve">backlog maintenance </w:t>
            </w:r>
            <w:r w:rsidR="00A11E0E" w:rsidRPr="00B03D5C">
              <w:rPr>
                <w:rFonts w:ascii="Arial" w:hAnsi="Arial" w:cs="Arial"/>
                <w:i/>
                <w:sz w:val="22"/>
                <w:szCs w:val="22"/>
              </w:rPr>
              <w:t>target</w:t>
            </w:r>
            <w:r w:rsidR="00A11E0E">
              <w:rPr>
                <w:rFonts w:ascii="Arial" w:hAnsi="Arial" w:cs="Arial"/>
                <w:sz w:val="22"/>
                <w:szCs w:val="22"/>
              </w:rPr>
              <w:t xml:space="preserve"> (</w:t>
            </w:r>
            <w:r w:rsidR="00A11E0E" w:rsidRPr="00A91F13">
              <w:rPr>
                <w:rFonts w:ascii="Arial" w:hAnsi="Arial" w:cs="Arial"/>
                <w:sz w:val="22"/>
                <w:szCs w:val="22"/>
              </w:rPr>
              <w:t>1% of the total insurance replacement value of the estate</w:t>
            </w:r>
            <w:r w:rsidR="00A11E0E">
              <w:rPr>
                <w:rFonts w:ascii="Arial" w:hAnsi="Arial" w:cs="Arial"/>
                <w:sz w:val="22"/>
                <w:szCs w:val="22"/>
              </w:rPr>
              <w:t>)</w:t>
            </w:r>
            <w:r w:rsidRPr="00D40E65">
              <w:rPr>
                <w:rFonts w:ascii="Arial" w:hAnsi="Arial" w:cs="Arial"/>
                <w:sz w:val="22"/>
                <w:szCs w:val="22"/>
              </w:rPr>
              <w:t xml:space="preserve"> to show the forecast annual maintenance </w:t>
            </w:r>
            <w:proofErr w:type="gramStart"/>
            <w:r w:rsidRPr="00D40E65">
              <w:rPr>
                <w:rFonts w:ascii="Arial" w:hAnsi="Arial" w:cs="Arial"/>
                <w:sz w:val="22"/>
                <w:szCs w:val="22"/>
              </w:rPr>
              <w:t>spend</w:t>
            </w:r>
            <w:proofErr w:type="gramEnd"/>
            <w:r w:rsidRPr="00D40E65">
              <w:rPr>
                <w:rFonts w:ascii="Arial" w:hAnsi="Arial" w:cs="Arial"/>
                <w:sz w:val="22"/>
                <w:szCs w:val="22"/>
              </w:rPr>
              <w:t xml:space="preserve"> as a proportion </w:t>
            </w:r>
            <w:r w:rsidR="00A11E0E">
              <w:rPr>
                <w:rFonts w:ascii="Arial" w:hAnsi="Arial" w:cs="Arial"/>
                <w:sz w:val="22"/>
                <w:szCs w:val="22"/>
              </w:rPr>
              <w:t>of that target.</w:t>
            </w:r>
          </w:p>
          <w:p w:rsidR="00B03D5C" w:rsidRDefault="00B03D5C" w:rsidP="00364ED2">
            <w:pPr>
              <w:rPr>
                <w:rFonts w:ascii="Arial" w:hAnsi="Arial" w:cs="Arial"/>
                <w:sz w:val="22"/>
                <w:szCs w:val="22"/>
              </w:rPr>
            </w:pPr>
          </w:p>
          <w:p w:rsidR="002401DA" w:rsidRPr="00D40E65" w:rsidRDefault="002401DA" w:rsidP="00B03D5C">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lastRenderedPageBreak/>
              <w:t>Performance thresholds for Red/Amber/Green</w:t>
            </w:r>
          </w:p>
        </w:tc>
        <w:tc>
          <w:tcPr>
            <w:tcW w:w="3073" w:type="pct"/>
          </w:tcPr>
          <w:p w:rsidR="00E60A89" w:rsidRDefault="00ED0E87" w:rsidP="00364ED2">
            <w:pPr>
              <w:rPr>
                <w:rFonts w:ascii="Arial" w:hAnsi="Arial" w:cs="Arial"/>
                <w:sz w:val="22"/>
                <w:szCs w:val="22"/>
              </w:rPr>
            </w:pPr>
            <w:r>
              <w:rPr>
                <w:rFonts w:ascii="Arial" w:hAnsi="Arial" w:cs="Arial"/>
                <w:sz w:val="22"/>
                <w:szCs w:val="22"/>
              </w:rPr>
              <w:t>T</w:t>
            </w:r>
            <w:r w:rsidRPr="00D40E65">
              <w:rPr>
                <w:rFonts w:ascii="Arial" w:hAnsi="Arial" w:cs="Arial"/>
                <w:sz w:val="22"/>
                <w:szCs w:val="22"/>
              </w:rPr>
              <w:t>he</w:t>
            </w:r>
            <w:r w:rsidR="00A82B2E">
              <w:rPr>
                <w:rFonts w:ascii="Arial" w:hAnsi="Arial" w:cs="Arial"/>
                <w:sz w:val="22"/>
                <w:szCs w:val="22"/>
              </w:rPr>
              <w:t xml:space="preserve"> projected</w:t>
            </w:r>
            <w:r w:rsidRPr="00D40E65">
              <w:rPr>
                <w:rFonts w:ascii="Arial" w:hAnsi="Arial" w:cs="Arial"/>
                <w:sz w:val="22"/>
                <w:szCs w:val="22"/>
              </w:rPr>
              <w:t xml:space="preserve"> level of maint</w:t>
            </w:r>
            <w:r>
              <w:rPr>
                <w:rFonts w:ascii="Arial" w:hAnsi="Arial" w:cs="Arial"/>
                <w:sz w:val="22"/>
                <w:szCs w:val="22"/>
              </w:rPr>
              <w:t xml:space="preserve">enance spending </w:t>
            </w:r>
            <w:r w:rsidR="00A82B2E">
              <w:rPr>
                <w:rFonts w:ascii="Arial" w:hAnsi="Arial" w:cs="Arial"/>
                <w:sz w:val="22"/>
                <w:szCs w:val="22"/>
              </w:rPr>
              <w:t xml:space="preserve">for </w:t>
            </w:r>
            <w:r>
              <w:rPr>
                <w:rFonts w:ascii="Arial" w:hAnsi="Arial" w:cs="Arial"/>
                <w:sz w:val="22"/>
                <w:szCs w:val="22"/>
              </w:rPr>
              <w:t xml:space="preserve">the </w:t>
            </w:r>
            <w:r w:rsidR="00A82B2E">
              <w:rPr>
                <w:rFonts w:ascii="Arial" w:hAnsi="Arial" w:cs="Arial"/>
                <w:sz w:val="22"/>
                <w:szCs w:val="22"/>
              </w:rPr>
              <w:t xml:space="preserve">full </w:t>
            </w:r>
            <w:r>
              <w:rPr>
                <w:rFonts w:ascii="Arial" w:hAnsi="Arial" w:cs="Arial"/>
                <w:sz w:val="22"/>
                <w:szCs w:val="22"/>
              </w:rPr>
              <w:t>year (</w:t>
            </w:r>
            <w:r w:rsidR="00A82B2E">
              <w:rPr>
                <w:rFonts w:ascii="Arial" w:hAnsi="Arial" w:cs="Arial"/>
                <w:sz w:val="22"/>
                <w:szCs w:val="22"/>
              </w:rPr>
              <w:t xml:space="preserve">using </w:t>
            </w:r>
            <w:r>
              <w:rPr>
                <w:rFonts w:ascii="Arial" w:hAnsi="Arial" w:cs="Arial"/>
                <w:sz w:val="22"/>
                <w:szCs w:val="22"/>
              </w:rPr>
              <w:t>actual</w:t>
            </w:r>
            <w:r w:rsidR="00A82B2E">
              <w:rPr>
                <w:rFonts w:ascii="Arial" w:hAnsi="Arial" w:cs="Arial"/>
                <w:sz w:val="22"/>
                <w:szCs w:val="22"/>
              </w:rPr>
              <w:t xml:space="preserve"> and forecast expenditure</w:t>
            </w:r>
            <w:r>
              <w:rPr>
                <w:rFonts w:ascii="Arial" w:hAnsi="Arial" w:cs="Arial"/>
                <w:sz w:val="22"/>
                <w:szCs w:val="22"/>
              </w:rPr>
              <w:t xml:space="preserve">) </w:t>
            </w:r>
            <w:r w:rsidRPr="00D40E65">
              <w:rPr>
                <w:rFonts w:ascii="Arial" w:hAnsi="Arial" w:cs="Arial"/>
                <w:sz w:val="22"/>
                <w:szCs w:val="22"/>
              </w:rPr>
              <w:t xml:space="preserve">as a proportion of the </w:t>
            </w:r>
            <w:r w:rsidR="00ED7E30">
              <w:rPr>
                <w:rFonts w:ascii="Arial" w:hAnsi="Arial" w:cs="Arial"/>
                <w:sz w:val="22"/>
                <w:szCs w:val="22"/>
              </w:rPr>
              <w:t>backlog maintenance target</w:t>
            </w:r>
            <w:r w:rsidRPr="00D40E65">
              <w:rPr>
                <w:rFonts w:ascii="Arial" w:hAnsi="Arial" w:cs="Arial"/>
                <w:sz w:val="22"/>
                <w:szCs w:val="22"/>
              </w:rPr>
              <w:t>.</w:t>
            </w:r>
          </w:p>
          <w:p w:rsidR="00ED0E87" w:rsidRPr="00D40E65" w:rsidRDefault="00ED0E87" w:rsidP="00364ED2">
            <w:pPr>
              <w:rPr>
                <w:rFonts w:ascii="Arial" w:hAnsi="Arial" w:cs="Arial"/>
                <w:sz w:val="22"/>
                <w:szCs w:val="22"/>
              </w:rPr>
            </w:pPr>
            <w:r w:rsidRPr="00D40E65">
              <w:rPr>
                <w:rFonts w:ascii="Arial" w:hAnsi="Arial" w:cs="Arial"/>
                <w:sz w:val="22"/>
                <w:szCs w:val="22"/>
              </w:rPr>
              <w:t xml:space="preserve"> </w:t>
            </w:r>
          </w:p>
          <w:p w:rsidR="00ED0E87" w:rsidRDefault="00ED0E87" w:rsidP="00364ED2">
            <w:pPr>
              <w:rPr>
                <w:rFonts w:ascii="Arial" w:hAnsi="Arial" w:cs="Arial"/>
                <w:sz w:val="22"/>
                <w:szCs w:val="22"/>
              </w:rPr>
            </w:pPr>
            <w:r w:rsidRPr="00D40E65">
              <w:rPr>
                <w:rFonts w:ascii="Arial" w:hAnsi="Arial" w:cs="Arial"/>
                <w:sz w:val="22"/>
                <w:szCs w:val="22"/>
              </w:rPr>
              <w:t xml:space="preserve">Red – </w:t>
            </w:r>
            <w:r w:rsidR="00ED7E30">
              <w:rPr>
                <w:rFonts w:ascii="Arial" w:hAnsi="Arial" w:cs="Arial"/>
                <w:sz w:val="22"/>
                <w:szCs w:val="22"/>
              </w:rPr>
              <w:t>projected expenditure for the year is less than 95% of the backlog maintenance target</w:t>
            </w:r>
          </w:p>
          <w:p w:rsidR="00ED7E30" w:rsidRPr="00D40E65" w:rsidRDefault="00ED7E30"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 xml:space="preserve">Amber </w:t>
            </w:r>
            <w:r w:rsidR="00ED7E30">
              <w:rPr>
                <w:rFonts w:ascii="Arial" w:hAnsi="Arial" w:cs="Arial"/>
                <w:sz w:val="22"/>
                <w:szCs w:val="22"/>
              </w:rPr>
              <w:t>– projected expenditure for the year is between 95% and 105% of the backlog maintenance target</w:t>
            </w:r>
          </w:p>
          <w:p w:rsidR="00ED7E30" w:rsidRPr="00D40E65" w:rsidRDefault="00ED7E30"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Green -</w:t>
            </w:r>
            <w:r w:rsidR="00ED7E30">
              <w:rPr>
                <w:rFonts w:ascii="Arial" w:hAnsi="Arial" w:cs="Arial"/>
                <w:sz w:val="22"/>
                <w:szCs w:val="22"/>
              </w:rPr>
              <w:t xml:space="preserve"> projected expenditure for the year is in excess of 105% of the backlog maintenance target</w:t>
            </w:r>
          </w:p>
          <w:p w:rsidR="00E60A89" w:rsidRDefault="00E60A89" w:rsidP="00364ED2">
            <w:pPr>
              <w:rPr>
                <w:rFonts w:ascii="Arial" w:hAnsi="Arial" w:cs="Arial"/>
                <w:sz w:val="22"/>
                <w:szCs w:val="22"/>
              </w:rPr>
            </w:pPr>
          </w:p>
          <w:p w:rsidR="00ED7E30" w:rsidRPr="00ED7E30" w:rsidRDefault="00ED7E30" w:rsidP="00364ED2">
            <w:pPr>
              <w:rPr>
                <w:rFonts w:ascii="Arial" w:hAnsi="Arial" w:cs="Arial"/>
                <w:i/>
                <w:sz w:val="22"/>
                <w:szCs w:val="22"/>
              </w:rPr>
            </w:pPr>
            <w:r w:rsidRPr="00ED7E30">
              <w:rPr>
                <w:rFonts w:ascii="Arial" w:hAnsi="Arial" w:cs="Arial"/>
                <w:i/>
                <w:sz w:val="22"/>
                <w:szCs w:val="22"/>
              </w:rPr>
              <w:t>(Note – for 2015/16 the backlog maintenance target is £5.07m)</w:t>
            </w:r>
          </w:p>
          <w:p w:rsidR="00ED7E30" w:rsidRPr="00D40E65" w:rsidRDefault="00ED7E30"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 xml:space="preserve"> Quarterly</w:t>
            </w:r>
          </w:p>
          <w:p w:rsidR="00E60A89" w:rsidRPr="00D40E65" w:rsidRDefault="00E60A89"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 xml:space="preserve"> Quarterly</w:t>
            </w:r>
          </w:p>
          <w:p w:rsidR="00E60A89" w:rsidRPr="00D40E65" w:rsidRDefault="00E60A89" w:rsidP="00364ED2">
            <w:pPr>
              <w:rPr>
                <w:rFonts w:ascii="Arial" w:hAnsi="Arial" w:cs="Arial"/>
                <w:sz w:val="22"/>
                <w:szCs w:val="22"/>
              </w:rPr>
            </w:pPr>
          </w:p>
        </w:tc>
      </w:tr>
    </w:tbl>
    <w:p w:rsidR="00ED0E87" w:rsidRDefault="00ED0E87" w:rsidP="00ED0E87">
      <w:pPr>
        <w:rPr>
          <w:rFonts w:ascii="Arial" w:hAnsi="Arial" w:cs="Arial"/>
          <w:sz w:val="22"/>
          <w:szCs w:val="22"/>
        </w:rPr>
      </w:pPr>
    </w:p>
    <w:p w:rsidR="00E60A89" w:rsidRDefault="00E60A89" w:rsidP="00ED0E87">
      <w:pPr>
        <w:rPr>
          <w:rFonts w:ascii="Arial" w:hAnsi="Arial" w:cs="Arial"/>
          <w:sz w:val="22"/>
          <w:szCs w:val="22"/>
        </w:rPr>
        <w:sectPr w:rsidR="00E60A89">
          <w:pgSz w:w="11906" w:h="16838"/>
          <w:pgMar w:top="1440" w:right="1800" w:bottom="1440" w:left="1800" w:header="708" w:footer="708" w:gutter="0"/>
          <w:cols w:space="708"/>
          <w:docGrid w:linePitch="360"/>
        </w:sectPr>
      </w:pPr>
    </w:p>
    <w:p w:rsidR="00ED0E87" w:rsidRDefault="00ED0E87"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ED0E87" w:rsidRPr="00D40E65" w:rsidTr="00243FC6">
        <w:trPr>
          <w:trHeight w:val="466"/>
        </w:trPr>
        <w:tc>
          <w:tcPr>
            <w:tcW w:w="1927" w:type="pct"/>
            <w:shd w:val="clear" w:color="auto" w:fill="0FC1A3"/>
          </w:tcPr>
          <w:p w:rsidR="00ED0E87" w:rsidRPr="00D40E65" w:rsidRDefault="00ED0E87" w:rsidP="00364ED2">
            <w:pPr>
              <w:rPr>
                <w:rFonts w:ascii="Arial" w:hAnsi="Arial" w:cs="Arial"/>
                <w:b/>
                <w:sz w:val="22"/>
                <w:szCs w:val="22"/>
              </w:rPr>
            </w:pPr>
            <w:r w:rsidRPr="00940BCB">
              <w:rPr>
                <w:rFonts w:ascii="Arial" w:hAnsi="Arial" w:cs="Arial"/>
                <w:b/>
                <w:szCs w:val="22"/>
              </w:rPr>
              <w:t>Strategic Priority 5</w:t>
            </w:r>
          </w:p>
        </w:tc>
        <w:tc>
          <w:tcPr>
            <w:tcW w:w="3073" w:type="pct"/>
            <w:shd w:val="clear" w:color="auto" w:fill="0FC1A3"/>
          </w:tcPr>
          <w:p w:rsidR="00ED0E87" w:rsidRPr="00D40E65" w:rsidRDefault="00ED0E87" w:rsidP="00364ED2">
            <w:pPr>
              <w:rPr>
                <w:rFonts w:ascii="Arial" w:hAnsi="Arial" w:cs="Arial"/>
                <w:b/>
                <w:sz w:val="22"/>
                <w:szCs w:val="22"/>
              </w:rPr>
            </w:pPr>
            <w:r w:rsidRPr="00940BCB">
              <w:rPr>
                <w:rFonts w:ascii="Arial" w:hAnsi="Arial" w:cs="Arial"/>
                <w:b/>
                <w:szCs w:val="22"/>
              </w:rPr>
              <w:t>Efficient Business Processes</w:t>
            </w:r>
          </w:p>
        </w:tc>
      </w:tr>
      <w:tr w:rsidR="00ED0E87" w:rsidRPr="00D40E65" w:rsidTr="00243FC6">
        <w:tc>
          <w:tcPr>
            <w:tcW w:w="1927" w:type="pct"/>
          </w:tcPr>
          <w:p w:rsidR="00ED0E87" w:rsidRDefault="00ED0E87" w:rsidP="00364ED2">
            <w:pPr>
              <w:rPr>
                <w:rFonts w:ascii="Arial" w:hAnsi="Arial" w:cs="Arial"/>
                <w:b/>
                <w:sz w:val="22"/>
                <w:szCs w:val="22"/>
              </w:rPr>
            </w:pPr>
            <w:r>
              <w:rPr>
                <w:rFonts w:ascii="Arial" w:hAnsi="Arial" w:cs="Arial"/>
                <w:b/>
                <w:sz w:val="22"/>
                <w:szCs w:val="22"/>
              </w:rPr>
              <w:t>Measure 5</w:t>
            </w:r>
            <w:r w:rsidR="006A6D8B">
              <w:rPr>
                <w:rFonts w:ascii="Arial" w:hAnsi="Arial" w:cs="Arial"/>
                <w:b/>
                <w:sz w:val="22"/>
                <w:szCs w:val="22"/>
              </w:rPr>
              <w:t>(</w:t>
            </w:r>
            <w:r>
              <w:rPr>
                <w:rFonts w:ascii="Arial" w:hAnsi="Arial" w:cs="Arial"/>
                <w:b/>
                <w:sz w:val="22"/>
                <w:szCs w:val="22"/>
              </w:rPr>
              <w:t>a</w:t>
            </w:r>
            <w:r w:rsidR="006A6D8B">
              <w:rPr>
                <w:rFonts w:ascii="Arial" w:hAnsi="Arial" w:cs="Arial"/>
                <w:b/>
                <w:sz w:val="22"/>
                <w:szCs w:val="22"/>
              </w:rPr>
              <w:t>)</w:t>
            </w:r>
          </w:p>
        </w:tc>
        <w:tc>
          <w:tcPr>
            <w:tcW w:w="3073" w:type="pct"/>
          </w:tcPr>
          <w:p w:rsidR="00ED0E87" w:rsidRDefault="00ED0E87" w:rsidP="00364ED2">
            <w:pPr>
              <w:rPr>
                <w:rFonts w:ascii="Arial" w:hAnsi="Arial" w:cs="Arial"/>
                <w:b/>
                <w:sz w:val="22"/>
                <w:szCs w:val="22"/>
              </w:rPr>
            </w:pPr>
            <w:r w:rsidRPr="008C3783">
              <w:rPr>
                <w:rFonts w:ascii="Arial" w:hAnsi="Arial" w:cs="Arial"/>
                <w:b/>
                <w:sz w:val="22"/>
                <w:szCs w:val="22"/>
              </w:rPr>
              <w:t>Sheriff Summary criminal waiting periods</w:t>
            </w:r>
          </w:p>
          <w:p w:rsidR="001575F2" w:rsidRPr="00E17D8A" w:rsidRDefault="001575F2" w:rsidP="00364ED2">
            <w:pPr>
              <w:rPr>
                <w:rFonts w:ascii="Arial" w:hAnsi="Arial" w:cs="Arial"/>
                <w:b/>
                <w:sz w:val="22"/>
                <w:szCs w:val="22"/>
              </w:rPr>
            </w:pPr>
          </w:p>
        </w:tc>
      </w:tr>
      <w:tr w:rsidR="00ED0E87" w:rsidRPr="00D40E65" w:rsidTr="00243FC6">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 </w:t>
            </w:r>
          </w:p>
        </w:tc>
        <w:tc>
          <w:tcPr>
            <w:tcW w:w="3073" w:type="pct"/>
          </w:tcPr>
          <w:p w:rsidR="000E46D2" w:rsidRPr="00D40E65" w:rsidRDefault="000E46D2" w:rsidP="000E46D2">
            <w:pPr>
              <w:rPr>
                <w:rFonts w:ascii="Arial" w:hAnsi="Arial" w:cs="Arial"/>
                <w:sz w:val="22"/>
                <w:szCs w:val="22"/>
              </w:rPr>
            </w:pPr>
            <w:r>
              <w:rPr>
                <w:rFonts w:ascii="Arial" w:hAnsi="Arial" w:cs="Arial"/>
                <w:sz w:val="22"/>
                <w:szCs w:val="22"/>
              </w:rPr>
              <w:t xml:space="preserve">A weighted national waiting period for Sheriff Court summary business which uses the </w:t>
            </w:r>
            <w:r w:rsidRPr="00D40E65">
              <w:rPr>
                <w:rFonts w:ascii="Arial" w:hAnsi="Arial" w:cs="Arial"/>
                <w:sz w:val="22"/>
                <w:szCs w:val="22"/>
              </w:rPr>
              <w:t xml:space="preserve">length of the waiting period from </w:t>
            </w:r>
            <w:r>
              <w:rPr>
                <w:rFonts w:ascii="Arial" w:hAnsi="Arial" w:cs="Arial"/>
                <w:sz w:val="22"/>
                <w:szCs w:val="22"/>
              </w:rPr>
              <w:t>t</w:t>
            </w:r>
            <w:r w:rsidRPr="00D40E65">
              <w:rPr>
                <w:rFonts w:ascii="Arial" w:hAnsi="Arial" w:cs="Arial"/>
                <w:sz w:val="22"/>
                <w:szCs w:val="22"/>
              </w:rPr>
              <w:t>he fixing of a trial diet to the date assigned.</w:t>
            </w:r>
          </w:p>
          <w:p w:rsidR="000E46D2" w:rsidRPr="004A474C" w:rsidRDefault="000E46D2" w:rsidP="00364ED2">
            <w:pPr>
              <w:rPr>
                <w:rFonts w:ascii="Arial" w:hAnsi="Arial" w:cs="Arial"/>
                <w:sz w:val="16"/>
                <w:szCs w:val="16"/>
              </w:rPr>
            </w:pPr>
          </w:p>
        </w:tc>
      </w:tr>
      <w:tr w:rsidR="00ED0E87" w:rsidRPr="00D40E65" w:rsidTr="00243FC6">
        <w:tc>
          <w:tcPr>
            <w:tcW w:w="1927" w:type="pct"/>
          </w:tcPr>
          <w:p w:rsidR="00ED0E87" w:rsidRPr="004856C1" w:rsidRDefault="00ED0E87" w:rsidP="00364ED2">
            <w:pPr>
              <w:rPr>
                <w:rFonts w:ascii="Arial" w:hAnsi="Arial" w:cs="Arial"/>
                <w:sz w:val="22"/>
                <w:szCs w:val="22"/>
              </w:rPr>
            </w:pPr>
            <w:r w:rsidRPr="004856C1">
              <w:rPr>
                <w:rFonts w:ascii="Arial" w:hAnsi="Arial" w:cs="Arial"/>
                <w:sz w:val="22"/>
                <w:szCs w:val="22"/>
              </w:rPr>
              <w:t>Purpose of Measure</w:t>
            </w:r>
          </w:p>
          <w:p w:rsidR="004856C1" w:rsidRDefault="004856C1" w:rsidP="00B81250">
            <w:pPr>
              <w:rPr>
                <w:rFonts w:ascii="Arial" w:hAnsi="Arial" w:cs="Arial"/>
                <w:sz w:val="22"/>
                <w:szCs w:val="22"/>
              </w:rPr>
            </w:pPr>
          </w:p>
          <w:p w:rsidR="00ED0E87" w:rsidRPr="004856C1" w:rsidRDefault="00ED0E87" w:rsidP="00B81250">
            <w:pPr>
              <w:rPr>
                <w:rFonts w:ascii="Arial" w:hAnsi="Arial" w:cs="Arial"/>
                <w:sz w:val="22"/>
                <w:szCs w:val="22"/>
              </w:rPr>
            </w:pPr>
          </w:p>
        </w:tc>
        <w:tc>
          <w:tcPr>
            <w:tcW w:w="3073" w:type="pct"/>
          </w:tcPr>
          <w:p w:rsidR="00ED0E87" w:rsidRDefault="002F5CA5" w:rsidP="00655970">
            <w:pPr>
              <w:rPr>
                <w:rFonts w:ascii="Arial" w:hAnsi="Arial" w:cs="Arial"/>
                <w:sz w:val="22"/>
                <w:szCs w:val="22"/>
              </w:rPr>
            </w:pPr>
            <w:r w:rsidRPr="00D40E65">
              <w:rPr>
                <w:rFonts w:ascii="Arial" w:hAnsi="Arial" w:cs="Arial"/>
                <w:sz w:val="22"/>
                <w:szCs w:val="22"/>
              </w:rPr>
              <w:t xml:space="preserve">The interests of justice are not served by excessive waiting periods for parties. </w:t>
            </w:r>
            <w:r w:rsidR="00544BFE">
              <w:rPr>
                <w:rFonts w:ascii="Arial" w:hAnsi="Arial" w:cs="Arial"/>
                <w:sz w:val="22"/>
                <w:szCs w:val="22"/>
              </w:rPr>
              <w:t>This figure provides an i</w:t>
            </w:r>
            <w:r w:rsidRPr="00D40E65">
              <w:rPr>
                <w:rFonts w:ascii="Arial" w:hAnsi="Arial" w:cs="Arial"/>
                <w:sz w:val="22"/>
                <w:szCs w:val="22"/>
              </w:rPr>
              <w:t xml:space="preserve">ndication of </w:t>
            </w:r>
            <w:r w:rsidR="00544BFE">
              <w:rPr>
                <w:rFonts w:ascii="Arial" w:hAnsi="Arial" w:cs="Arial"/>
                <w:sz w:val="22"/>
                <w:szCs w:val="22"/>
              </w:rPr>
              <w:t>the length of time</w:t>
            </w:r>
            <w:r w:rsidRPr="00D40E65">
              <w:rPr>
                <w:rFonts w:ascii="Arial" w:hAnsi="Arial" w:cs="Arial"/>
                <w:sz w:val="22"/>
                <w:szCs w:val="22"/>
              </w:rPr>
              <w:t xml:space="preserve"> </w:t>
            </w:r>
            <w:r w:rsidR="00544BFE">
              <w:rPr>
                <w:rFonts w:ascii="Arial" w:hAnsi="Arial" w:cs="Arial"/>
                <w:sz w:val="22"/>
                <w:szCs w:val="22"/>
              </w:rPr>
              <w:t>between a case first calling and the date on which it is likely to be heard, if it proceeds to trial</w:t>
            </w:r>
            <w:r w:rsidRPr="00D40E65">
              <w:rPr>
                <w:rFonts w:ascii="Arial" w:hAnsi="Arial" w:cs="Arial"/>
                <w:sz w:val="22"/>
                <w:szCs w:val="22"/>
              </w:rPr>
              <w:t xml:space="preserve">. </w:t>
            </w:r>
            <w:r w:rsidR="001575F2">
              <w:rPr>
                <w:rFonts w:ascii="Arial" w:hAnsi="Arial" w:cs="Arial"/>
                <w:sz w:val="22"/>
                <w:szCs w:val="22"/>
              </w:rPr>
              <w:t xml:space="preserve"> </w:t>
            </w:r>
            <w:r w:rsidRPr="00D40E65">
              <w:rPr>
                <w:rFonts w:ascii="Arial" w:hAnsi="Arial" w:cs="Arial"/>
                <w:sz w:val="22"/>
                <w:szCs w:val="22"/>
              </w:rPr>
              <w:t>Deterioration in this figure will be indicative of pressure on the court system borne of increasing demand or shrinking capacity.</w:t>
            </w:r>
          </w:p>
          <w:p w:rsidR="00544BFE" w:rsidRDefault="00544BFE" w:rsidP="00655970">
            <w:pPr>
              <w:rPr>
                <w:rFonts w:ascii="Arial" w:hAnsi="Arial" w:cs="Arial"/>
                <w:sz w:val="22"/>
                <w:szCs w:val="22"/>
              </w:rPr>
            </w:pPr>
          </w:p>
          <w:p w:rsidR="00544BFE" w:rsidRDefault="00544BFE" w:rsidP="00544BFE">
            <w:pPr>
              <w:rPr>
                <w:rFonts w:ascii="Arial" w:hAnsi="Arial" w:cs="Arial"/>
                <w:sz w:val="22"/>
                <w:szCs w:val="22"/>
              </w:rPr>
            </w:pPr>
            <w:r w:rsidRPr="00D40E65">
              <w:rPr>
                <w:rFonts w:ascii="Arial" w:hAnsi="Arial" w:cs="Arial"/>
                <w:sz w:val="22"/>
                <w:szCs w:val="22"/>
              </w:rPr>
              <w:t>SC</w:t>
            </w:r>
            <w:r>
              <w:rPr>
                <w:rFonts w:ascii="Arial" w:hAnsi="Arial" w:cs="Arial"/>
                <w:sz w:val="22"/>
                <w:szCs w:val="22"/>
              </w:rPr>
              <w:t>T</w:t>
            </w:r>
            <w:r w:rsidRPr="00D40E65">
              <w:rPr>
                <w:rFonts w:ascii="Arial" w:hAnsi="Arial" w:cs="Arial"/>
                <w:sz w:val="22"/>
                <w:szCs w:val="22"/>
              </w:rPr>
              <w:t xml:space="preserve">S is not solely responsible for delay but has a </w:t>
            </w:r>
            <w:r>
              <w:rPr>
                <w:rFonts w:ascii="Arial" w:hAnsi="Arial" w:cs="Arial"/>
                <w:sz w:val="22"/>
                <w:szCs w:val="22"/>
              </w:rPr>
              <w:t xml:space="preserve">shared </w:t>
            </w:r>
            <w:r w:rsidRPr="00D40E65">
              <w:rPr>
                <w:rFonts w:ascii="Arial" w:hAnsi="Arial" w:cs="Arial"/>
                <w:sz w:val="22"/>
                <w:szCs w:val="22"/>
              </w:rPr>
              <w:t xml:space="preserve">responsibility to provide access </w:t>
            </w:r>
            <w:r>
              <w:rPr>
                <w:rFonts w:ascii="Arial" w:hAnsi="Arial" w:cs="Arial"/>
                <w:sz w:val="22"/>
                <w:szCs w:val="22"/>
              </w:rPr>
              <w:t>to justice in a reasonable time</w:t>
            </w:r>
            <w:r w:rsidRPr="00D40E65">
              <w:rPr>
                <w:rFonts w:ascii="Arial" w:hAnsi="Arial" w:cs="Arial"/>
                <w:sz w:val="22"/>
                <w:szCs w:val="22"/>
              </w:rPr>
              <w:t>frame</w:t>
            </w:r>
            <w:r>
              <w:rPr>
                <w:rFonts w:ascii="Arial" w:hAnsi="Arial" w:cs="Arial"/>
                <w:sz w:val="22"/>
                <w:szCs w:val="22"/>
              </w:rPr>
              <w:t xml:space="preserve"> – and is well placed to report on the length of time elapsing between these points in the process</w:t>
            </w:r>
            <w:r w:rsidRPr="00D40E65">
              <w:rPr>
                <w:rFonts w:ascii="Arial" w:hAnsi="Arial" w:cs="Arial"/>
                <w:sz w:val="22"/>
                <w:szCs w:val="22"/>
              </w:rPr>
              <w:t>.</w:t>
            </w:r>
          </w:p>
          <w:p w:rsidR="001575F2" w:rsidRPr="00D40E65" w:rsidRDefault="001575F2" w:rsidP="00655970">
            <w:pPr>
              <w:rPr>
                <w:rFonts w:ascii="Arial" w:hAnsi="Arial" w:cs="Arial"/>
                <w:sz w:val="22"/>
                <w:szCs w:val="22"/>
              </w:rPr>
            </w:pPr>
          </w:p>
        </w:tc>
      </w:tr>
      <w:tr w:rsidR="002F5CA5" w:rsidRPr="00D40E65" w:rsidTr="00243FC6">
        <w:tc>
          <w:tcPr>
            <w:tcW w:w="1927" w:type="pct"/>
          </w:tcPr>
          <w:p w:rsidR="002F5CA5" w:rsidRPr="00D40E65" w:rsidRDefault="002F5CA5" w:rsidP="00364ED2">
            <w:pPr>
              <w:rPr>
                <w:rFonts w:ascii="Arial" w:hAnsi="Arial" w:cs="Arial"/>
                <w:sz w:val="22"/>
                <w:szCs w:val="22"/>
              </w:rPr>
            </w:pPr>
            <w:r w:rsidRPr="00D40E65">
              <w:rPr>
                <w:rFonts w:ascii="Arial" w:hAnsi="Arial" w:cs="Arial"/>
                <w:sz w:val="22"/>
                <w:szCs w:val="22"/>
              </w:rPr>
              <w:t>Measure Owner</w:t>
            </w:r>
          </w:p>
        </w:tc>
        <w:tc>
          <w:tcPr>
            <w:tcW w:w="3073" w:type="pct"/>
          </w:tcPr>
          <w:p w:rsidR="002F5CA5" w:rsidRDefault="002F5CA5" w:rsidP="00CC59E8">
            <w:pPr>
              <w:rPr>
                <w:rFonts w:ascii="Arial" w:hAnsi="Arial" w:cs="Arial"/>
                <w:sz w:val="22"/>
                <w:szCs w:val="22"/>
              </w:rPr>
            </w:pPr>
            <w:r w:rsidRPr="0033094D">
              <w:rPr>
                <w:rFonts w:ascii="Arial" w:hAnsi="Arial" w:cs="Arial"/>
                <w:sz w:val="22"/>
                <w:szCs w:val="22"/>
              </w:rPr>
              <w:t>Director Operations Delivery</w:t>
            </w:r>
          </w:p>
          <w:p w:rsidR="001575F2" w:rsidRPr="004A474C" w:rsidRDefault="001575F2" w:rsidP="00CC59E8">
            <w:pPr>
              <w:rPr>
                <w:rFonts w:ascii="Arial" w:hAnsi="Arial" w:cs="Arial"/>
                <w:sz w:val="16"/>
                <w:szCs w:val="16"/>
              </w:rPr>
            </w:pPr>
          </w:p>
        </w:tc>
      </w:tr>
      <w:tr w:rsidR="002F5CA5" w:rsidRPr="00D40E65" w:rsidTr="00243FC6">
        <w:tc>
          <w:tcPr>
            <w:tcW w:w="1927" w:type="pct"/>
          </w:tcPr>
          <w:p w:rsidR="002F5CA5" w:rsidRPr="00D40E65" w:rsidRDefault="002F5CA5" w:rsidP="00364ED2">
            <w:pPr>
              <w:rPr>
                <w:rFonts w:ascii="Arial" w:hAnsi="Arial" w:cs="Arial"/>
                <w:sz w:val="22"/>
                <w:szCs w:val="22"/>
              </w:rPr>
            </w:pPr>
            <w:r w:rsidRPr="00D40E65">
              <w:rPr>
                <w:rFonts w:ascii="Arial" w:hAnsi="Arial" w:cs="Arial"/>
                <w:sz w:val="22"/>
                <w:szCs w:val="22"/>
              </w:rPr>
              <w:t>Source of the data</w:t>
            </w:r>
          </w:p>
        </w:tc>
        <w:tc>
          <w:tcPr>
            <w:tcW w:w="3073" w:type="pct"/>
          </w:tcPr>
          <w:p w:rsidR="002F5CA5" w:rsidRDefault="00CC59E8" w:rsidP="00CC59E8">
            <w:pPr>
              <w:rPr>
                <w:rFonts w:ascii="Arial" w:hAnsi="Arial" w:cs="Arial"/>
                <w:sz w:val="22"/>
                <w:szCs w:val="22"/>
              </w:rPr>
            </w:pPr>
            <w:r>
              <w:rPr>
                <w:rFonts w:ascii="Arial" w:hAnsi="Arial" w:cs="Arial"/>
                <w:sz w:val="22"/>
                <w:szCs w:val="22"/>
              </w:rPr>
              <w:t>COP II Management I</w:t>
            </w:r>
            <w:r w:rsidR="002F5CA5" w:rsidRPr="00D40E65">
              <w:rPr>
                <w:rFonts w:ascii="Arial" w:hAnsi="Arial" w:cs="Arial"/>
                <w:sz w:val="22"/>
                <w:szCs w:val="22"/>
              </w:rPr>
              <w:t>nformation reports</w:t>
            </w:r>
            <w:r w:rsidR="002F5CA5">
              <w:rPr>
                <w:rFonts w:ascii="Arial" w:hAnsi="Arial" w:cs="Arial"/>
                <w:sz w:val="22"/>
                <w:szCs w:val="22"/>
              </w:rPr>
              <w:t>.</w:t>
            </w:r>
          </w:p>
          <w:p w:rsidR="001575F2" w:rsidRPr="004A474C" w:rsidRDefault="001575F2" w:rsidP="00CC59E8">
            <w:pPr>
              <w:rPr>
                <w:rFonts w:ascii="Arial" w:hAnsi="Arial" w:cs="Arial"/>
                <w:sz w:val="16"/>
                <w:szCs w:val="16"/>
              </w:rPr>
            </w:pPr>
          </w:p>
        </w:tc>
      </w:tr>
      <w:tr w:rsidR="00ED0E87" w:rsidRPr="00D40E65" w:rsidTr="00243FC6">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ED0E87" w:rsidRPr="00D40E65" w:rsidRDefault="004A474C" w:rsidP="00364ED2">
            <w:pPr>
              <w:rPr>
                <w:rFonts w:ascii="Arial" w:hAnsi="Arial" w:cs="Arial"/>
                <w:sz w:val="22"/>
                <w:szCs w:val="22"/>
              </w:rPr>
            </w:pPr>
            <w:r>
              <w:rPr>
                <w:rFonts w:ascii="Arial" w:hAnsi="Arial" w:cs="Arial"/>
                <w:sz w:val="22"/>
                <w:szCs w:val="22"/>
              </w:rPr>
              <w:t>As per description of measure</w:t>
            </w:r>
          </w:p>
        </w:tc>
      </w:tr>
      <w:tr w:rsidR="00ED0E87" w:rsidRPr="00D40E65" w:rsidTr="00243FC6">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ED0E87" w:rsidRPr="00D40E65" w:rsidRDefault="00ED0E87" w:rsidP="00364ED2">
            <w:pPr>
              <w:rPr>
                <w:rFonts w:ascii="Arial" w:hAnsi="Arial" w:cs="Arial"/>
                <w:sz w:val="22"/>
                <w:szCs w:val="22"/>
              </w:rPr>
            </w:pPr>
            <w:r w:rsidRPr="00D40E65">
              <w:rPr>
                <w:rFonts w:ascii="Arial" w:hAnsi="Arial" w:cs="Arial"/>
                <w:sz w:val="22"/>
                <w:szCs w:val="22"/>
              </w:rPr>
              <w:t>Red</w:t>
            </w:r>
            <w:r>
              <w:rPr>
                <w:rFonts w:ascii="Arial" w:hAnsi="Arial" w:cs="Arial"/>
                <w:sz w:val="22"/>
                <w:szCs w:val="22"/>
              </w:rPr>
              <w:t xml:space="preserve"> -</w:t>
            </w:r>
            <w:r w:rsidRPr="00D40E65">
              <w:rPr>
                <w:rFonts w:ascii="Arial" w:hAnsi="Arial" w:cs="Arial"/>
                <w:sz w:val="22"/>
                <w:szCs w:val="22"/>
              </w:rPr>
              <w:t xml:space="preserve"> </w:t>
            </w:r>
            <w:r w:rsidRPr="009C40D5">
              <w:rPr>
                <w:rFonts w:ascii="Arial" w:hAnsi="Arial" w:cs="Arial"/>
                <w:sz w:val="22"/>
                <w:szCs w:val="22"/>
              </w:rPr>
              <w:t>Over 19 weeks</w:t>
            </w:r>
          </w:p>
          <w:p w:rsidR="00ED0E87" w:rsidRPr="00D40E65" w:rsidRDefault="00ED0E87" w:rsidP="00364ED2">
            <w:pPr>
              <w:rPr>
                <w:rFonts w:ascii="Arial" w:hAnsi="Arial" w:cs="Arial"/>
                <w:sz w:val="22"/>
                <w:szCs w:val="22"/>
              </w:rPr>
            </w:pPr>
            <w:r w:rsidRPr="00D40E65">
              <w:rPr>
                <w:rFonts w:ascii="Arial" w:hAnsi="Arial" w:cs="Arial"/>
                <w:sz w:val="22"/>
                <w:szCs w:val="22"/>
              </w:rPr>
              <w:t>Amber</w:t>
            </w:r>
            <w:r>
              <w:rPr>
                <w:rFonts w:ascii="Arial" w:hAnsi="Arial" w:cs="Arial"/>
                <w:sz w:val="22"/>
                <w:szCs w:val="22"/>
              </w:rPr>
              <w:t xml:space="preserve"> -</w:t>
            </w:r>
            <w:r w:rsidRPr="00D40E65">
              <w:rPr>
                <w:rFonts w:ascii="Arial" w:hAnsi="Arial" w:cs="Arial"/>
                <w:sz w:val="22"/>
                <w:szCs w:val="22"/>
              </w:rPr>
              <w:t xml:space="preserve"> </w:t>
            </w:r>
            <w:r w:rsidRPr="009C40D5">
              <w:rPr>
                <w:rFonts w:ascii="Arial" w:hAnsi="Arial" w:cs="Arial"/>
                <w:sz w:val="22"/>
                <w:szCs w:val="22"/>
              </w:rPr>
              <w:t>Between 17 and 19 weeks</w:t>
            </w:r>
          </w:p>
          <w:p w:rsidR="00ED0E87" w:rsidRDefault="00ED0E87" w:rsidP="00364ED2">
            <w:pPr>
              <w:rPr>
                <w:rFonts w:ascii="Arial" w:hAnsi="Arial" w:cs="Arial"/>
                <w:sz w:val="22"/>
                <w:szCs w:val="22"/>
              </w:rPr>
            </w:pPr>
            <w:r w:rsidRPr="00D40E65">
              <w:rPr>
                <w:rFonts w:ascii="Arial" w:hAnsi="Arial" w:cs="Arial"/>
                <w:sz w:val="22"/>
                <w:szCs w:val="22"/>
              </w:rPr>
              <w:t>Green</w:t>
            </w:r>
            <w:r>
              <w:rPr>
                <w:rFonts w:ascii="Arial" w:hAnsi="Arial" w:cs="Arial"/>
                <w:sz w:val="22"/>
                <w:szCs w:val="22"/>
              </w:rPr>
              <w:t xml:space="preserve"> -</w:t>
            </w:r>
            <w:r w:rsidRPr="00D40E65">
              <w:rPr>
                <w:rFonts w:ascii="Arial" w:hAnsi="Arial" w:cs="Arial"/>
                <w:sz w:val="22"/>
                <w:szCs w:val="22"/>
              </w:rPr>
              <w:t xml:space="preserve"> </w:t>
            </w:r>
            <w:r w:rsidRPr="009C40D5">
              <w:rPr>
                <w:rFonts w:ascii="Arial" w:hAnsi="Arial" w:cs="Arial"/>
                <w:sz w:val="22"/>
                <w:szCs w:val="22"/>
              </w:rPr>
              <w:t>Under 17 weeks</w:t>
            </w:r>
          </w:p>
          <w:p w:rsidR="001575F2" w:rsidRPr="00D40E65" w:rsidRDefault="001575F2" w:rsidP="00364ED2">
            <w:pPr>
              <w:rPr>
                <w:rFonts w:ascii="Arial" w:hAnsi="Arial" w:cs="Arial"/>
                <w:sz w:val="22"/>
                <w:szCs w:val="22"/>
              </w:rPr>
            </w:pPr>
          </w:p>
        </w:tc>
      </w:tr>
      <w:tr w:rsidR="00ED0E87" w:rsidRPr="00D40E65" w:rsidTr="00243FC6">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Pr>
                <w:rFonts w:ascii="Arial" w:hAnsi="Arial" w:cs="Arial"/>
                <w:sz w:val="22"/>
                <w:szCs w:val="22"/>
              </w:rPr>
              <w:t>Quarterly</w:t>
            </w:r>
          </w:p>
          <w:p w:rsidR="001575F2" w:rsidRPr="004A474C" w:rsidRDefault="001575F2" w:rsidP="00364ED2">
            <w:pPr>
              <w:rPr>
                <w:rFonts w:ascii="Arial" w:hAnsi="Arial" w:cs="Arial"/>
                <w:sz w:val="16"/>
                <w:szCs w:val="16"/>
              </w:rPr>
            </w:pPr>
          </w:p>
        </w:tc>
      </w:tr>
      <w:tr w:rsidR="00ED0E87" w:rsidRPr="00D40E65" w:rsidTr="00243FC6">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Pr>
                <w:rFonts w:ascii="Arial" w:hAnsi="Arial" w:cs="Arial"/>
                <w:sz w:val="22"/>
                <w:szCs w:val="22"/>
              </w:rPr>
              <w:t>Quarterly</w:t>
            </w:r>
          </w:p>
          <w:p w:rsidR="001575F2" w:rsidRPr="004A474C" w:rsidRDefault="001575F2" w:rsidP="00364ED2">
            <w:pPr>
              <w:rPr>
                <w:rFonts w:ascii="Arial" w:hAnsi="Arial" w:cs="Arial"/>
                <w:sz w:val="16"/>
                <w:szCs w:val="16"/>
              </w:rPr>
            </w:pPr>
          </w:p>
        </w:tc>
      </w:tr>
      <w:tr w:rsidR="00243FC6" w:rsidRPr="00D40E65" w:rsidTr="00243FC6">
        <w:tc>
          <w:tcPr>
            <w:tcW w:w="1927" w:type="pct"/>
          </w:tcPr>
          <w:p w:rsidR="00243FC6" w:rsidRPr="00D40E65" w:rsidRDefault="00243FC6" w:rsidP="00364ED2">
            <w:pPr>
              <w:rPr>
                <w:rFonts w:ascii="Arial" w:hAnsi="Arial" w:cs="Arial"/>
                <w:sz w:val="22"/>
                <w:szCs w:val="22"/>
              </w:rPr>
            </w:pPr>
            <w:r w:rsidRPr="00D40E65">
              <w:rPr>
                <w:rFonts w:ascii="Arial" w:hAnsi="Arial" w:cs="Arial"/>
                <w:sz w:val="22"/>
                <w:szCs w:val="22"/>
              </w:rPr>
              <w:t>Other Comments</w:t>
            </w:r>
          </w:p>
        </w:tc>
        <w:tc>
          <w:tcPr>
            <w:tcW w:w="3073" w:type="pct"/>
          </w:tcPr>
          <w:p w:rsidR="001575F2" w:rsidRDefault="001575F2" w:rsidP="00364ED2">
            <w:pPr>
              <w:rPr>
                <w:rFonts w:ascii="Arial" w:hAnsi="Arial" w:cs="Arial"/>
                <w:sz w:val="22"/>
                <w:szCs w:val="22"/>
              </w:rPr>
            </w:pPr>
            <w:r>
              <w:rPr>
                <w:rFonts w:ascii="Arial" w:hAnsi="Arial" w:cs="Arial"/>
                <w:sz w:val="22"/>
                <w:szCs w:val="22"/>
              </w:rPr>
              <w:t>This indicator</w:t>
            </w:r>
            <w:r w:rsidR="004A474C">
              <w:rPr>
                <w:rFonts w:ascii="Arial" w:hAnsi="Arial" w:cs="Arial"/>
                <w:sz w:val="22"/>
                <w:szCs w:val="22"/>
              </w:rPr>
              <w:t xml:space="preserve"> (and 5b which follows it)</w:t>
            </w:r>
            <w:r>
              <w:rPr>
                <w:rFonts w:ascii="Arial" w:hAnsi="Arial" w:cs="Arial"/>
                <w:sz w:val="22"/>
                <w:szCs w:val="22"/>
              </w:rPr>
              <w:t xml:space="preserve"> is similar to KPI 2b in that it measures the length of time it takes for certain processes to be completed.  However it differs from 2b in that it measures time from the initial Sheriff summary court hearing to the fixed trial diet date – as opposed to the time between the date of caution and charge (a pre-court process) and ultimate disposal  of the case (which may be a non-court process).</w:t>
            </w:r>
          </w:p>
          <w:p w:rsidR="001575F2" w:rsidRDefault="001575F2" w:rsidP="00364ED2">
            <w:pPr>
              <w:rPr>
                <w:rFonts w:ascii="Arial" w:hAnsi="Arial" w:cs="Arial"/>
                <w:sz w:val="22"/>
                <w:szCs w:val="22"/>
              </w:rPr>
            </w:pPr>
          </w:p>
          <w:p w:rsidR="001575F2" w:rsidRDefault="001575F2" w:rsidP="004A474C">
            <w:pPr>
              <w:rPr>
                <w:rFonts w:ascii="Arial" w:hAnsi="Arial" w:cs="Arial"/>
                <w:sz w:val="22"/>
                <w:szCs w:val="22"/>
              </w:rPr>
            </w:pPr>
            <w:r>
              <w:rPr>
                <w:rFonts w:ascii="Arial" w:hAnsi="Arial" w:cs="Arial"/>
                <w:sz w:val="22"/>
                <w:szCs w:val="22"/>
              </w:rPr>
              <w:t>This allows the indicator to focus more specifically on waiting periods within the summary criminal courts.  It also provides “lead” information, as the fixed trial date is known upon conclusion of the initial court hearing, whereas indicator 2b can only provide “lag” information, as the timing of disposal only becomes clear at the point of disposal itself.</w:t>
            </w:r>
          </w:p>
          <w:p w:rsidR="004A474C" w:rsidRPr="00D40E65" w:rsidRDefault="004A474C" w:rsidP="004A474C">
            <w:pPr>
              <w:rPr>
                <w:rFonts w:ascii="Arial" w:hAnsi="Arial" w:cs="Arial"/>
                <w:sz w:val="22"/>
                <w:szCs w:val="22"/>
              </w:rPr>
            </w:pPr>
          </w:p>
        </w:tc>
      </w:tr>
    </w:tbl>
    <w:p w:rsidR="00247DCE" w:rsidRDefault="00247DCE" w:rsidP="00ED0E87">
      <w:pPr>
        <w:rPr>
          <w:rFonts w:ascii="Arial" w:hAnsi="Arial" w:cs="Arial"/>
          <w:sz w:val="22"/>
          <w:szCs w:val="22"/>
        </w:rPr>
      </w:pPr>
    </w:p>
    <w:p w:rsidR="001575F2" w:rsidRDefault="001575F2" w:rsidP="00ED0E87">
      <w:pPr>
        <w:rPr>
          <w:rFonts w:ascii="Arial" w:hAnsi="Arial" w:cs="Arial"/>
          <w:sz w:val="22"/>
          <w:szCs w:val="22"/>
        </w:rPr>
        <w:sectPr w:rsidR="001575F2">
          <w:pgSz w:w="11906" w:h="16838"/>
          <w:pgMar w:top="1440" w:right="1800" w:bottom="1440" w:left="1800" w:header="708" w:footer="708" w:gutter="0"/>
          <w:cols w:space="708"/>
          <w:docGrid w:linePitch="360"/>
        </w:sectPr>
      </w:pPr>
    </w:p>
    <w:p w:rsidR="00B81250" w:rsidRDefault="00B81250"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753200" w:rsidRPr="00D40E65" w:rsidTr="00753200">
        <w:trPr>
          <w:trHeight w:val="466"/>
        </w:trPr>
        <w:tc>
          <w:tcPr>
            <w:tcW w:w="1927" w:type="pct"/>
            <w:shd w:val="clear" w:color="auto" w:fill="0FC1A3"/>
          </w:tcPr>
          <w:p w:rsidR="00753200" w:rsidRPr="00D40E65" w:rsidRDefault="00753200" w:rsidP="00753200">
            <w:pPr>
              <w:rPr>
                <w:rFonts w:ascii="Arial" w:hAnsi="Arial" w:cs="Arial"/>
                <w:b/>
                <w:sz w:val="22"/>
                <w:szCs w:val="22"/>
              </w:rPr>
            </w:pPr>
            <w:r w:rsidRPr="00940BCB">
              <w:rPr>
                <w:rFonts w:ascii="Arial" w:hAnsi="Arial" w:cs="Arial"/>
                <w:b/>
                <w:szCs w:val="22"/>
              </w:rPr>
              <w:t>Strategic Priority 5</w:t>
            </w:r>
          </w:p>
        </w:tc>
        <w:tc>
          <w:tcPr>
            <w:tcW w:w="3073" w:type="pct"/>
            <w:shd w:val="clear" w:color="auto" w:fill="0FC1A3"/>
          </w:tcPr>
          <w:p w:rsidR="00753200" w:rsidRPr="00D40E65" w:rsidRDefault="00753200" w:rsidP="00753200">
            <w:pPr>
              <w:rPr>
                <w:rFonts w:ascii="Arial" w:hAnsi="Arial" w:cs="Arial"/>
                <w:b/>
                <w:sz w:val="22"/>
                <w:szCs w:val="22"/>
              </w:rPr>
            </w:pPr>
            <w:r w:rsidRPr="00940BCB">
              <w:rPr>
                <w:rFonts w:ascii="Arial" w:hAnsi="Arial" w:cs="Arial"/>
                <w:b/>
                <w:szCs w:val="22"/>
              </w:rPr>
              <w:t>Efficient Business Processes</w:t>
            </w:r>
          </w:p>
        </w:tc>
      </w:tr>
      <w:tr w:rsidR="00ED0E87" w:rsidRPr="00D40E65" w:rsidTr="00364ED2">
        <w:tc>
          <w:tcPr>
            <w:tcW w:w="1927" w:type="pct"/>
          </w:tcPr>
          <w:p w:rsidR="00ED0E87" w:rsidRPr="00D40E65" w:rsidRDefault="00ED0E87" w:rsidP="00364ED2">
            <w:pPr>
              <w:rPr>
                <w:rFonts w:ascii="Arial" w:hAnsi="Arial" w:cs="Arial"/>
                <w:b/>
                <w:sz w:val="22"/>
                <w:szCs w:val="22"/>
              </w:rPr>
            </w:pPr>
            <w:r>
              <w:rPr>
                <w:rFonts w:ascii="Arial" w:hAnsi="Arial" w:cs="Arial"/>
                <w:b/>
                <w:sz w:val="22"/>
                <w:szCs w:val="22"/>
              </w:rPr>
              <w:t>Measure 5</w:t>
            </w:r>
            <w:r w:rsidR="006A6D8B">
              <w:rPr>
                <w:rFonts w:ascii="Arial" w:hAnsi="Arial" w:cs="Arial"/>
                <w:b/>
                <w:sz w:val="22"/>
                <w:szCs w:val="22"/>
              </w:rPr>
              <w:t>(</w:t>
            </w:r>
            <w:r>
              <w:rPr>
                <w:rFonts w:ascii="Arial" w:hAnsi="Arial" w:cs="Arial"/>
                <w:b/>
                <w:sz w:val="22"/>
                <w:szCs w:val="22"/>
              </w:rPr>
              <w:t>b</w:t>
            </w:r>
            <w:r w:rsidR="006A6D8B">
              <w:rPr>
                <w:rFonts w:ascii="Arial" w:hAnsi="Arial" w:cs="Arial"/>
                <w:b/>
                <w:sz w:val="22"/>
                <w:szCs w:val="22"/>
              </w:rPr>
              <w:t>)</w:t>
            </w:r>
          </w:p>
        </w:tc>
        <w:tc>
          <w:tcPr>
            <w:tcW w:w="3073" w:type="pct"/>
          </w:tcPr>
          <w:p w:rsidR="00ED0E87" w:rsidRDefault="00ED0E87" w:rsidP="00280DA5">
            <w:pPr>
              <w:rPr>
                <w:rFonts w:ascii="Arial" w:hAnsi="Arial" w:cs="Arial"/>
                <w:b/>
                <w:sz w:val="22"/>
                <w:szCs w:val="22"/>
              </w:rPr>
            </w:pPr>
            <w:r w:rsidRPr="00DB12EC">
              <w:rPr>
                <w:rFonts w:ascii="Arial" w:hAnsi="Arial" w:cs="Arial"/>
                <w:b/>
                <w:sz w:val="22"/>
                <w:szCs w:val="22"/>
              </w:rPr>
              <w:t>JP Summary criminal</w:t>
            </w:r>
            <w:r>
              <w:rPr>
                <w:rFonts w:ascii="Arial" w:hAnsi="Arial" w:cs="Arial"/>
                <w:b/>
                <w:sz w:val="22"/>
                <w:szCs w:val="22"/>
              </w:rPr>
              <w:t xml:space="preserve"> </w:t>
            </w:r>
            <w:r w:rsidRPr="00DB12EC">
              <w:rPr>
                <w:rFonts w:ascii="Arial" w:hAnsi="Arial" w:cs="Arial"/>
                <w:b/>
                <w:sz w:val="22"/>
                <w:szCs w:val="22"/>
              </w:rPr>
              <w:t>waiting periods</w:t>
            </w:r>
          </w:p>
          <w:p w:rsidR="00C1264C" w:rsidRPr="00D40E65" w:rsidRDefault="00C1264C" w:rsidP="00280DA5">
            <w:pPr>
              <w:rPr>
                <w:rFonts w:ascii="Arial" w:hAnsi="Arial" w:cs="Arial"/>
                <w:b/>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Default="004A474C" w:rsidP="00364ED2">
            <w:pPr>
              <w:rPr>
                <w:rFonts w:ascii="Arial" w:hAnsi="Arial" w:cs="Arial"/>
                <w:sz w:val="22"/>
                <w:szCs w:val="22"/>
              </w:rPr>
            </w:pPr>
            <w:r>
              <w:rPr>
                <w:rFonts w:ascii="Arial" w:hAnsi="Arial" w:cs="Arial"/>
                <w:sz w:val="22"/>
                <w:szCs w:val="22"/>
              </w:rPr>
              <w:t xml:space="preserve">A weighted national waiting period for Justice of the Peace Court summary business which uses the </w:t>
            </w:r>
            <w:r w:rsidRPr="00D40E65">
              <w:rPr>
                <w:rFonts w:ascii="Arial" w:hAnsi="Arial" w:cs="Arial"/>
                <w:sz w:val="22"/>
                <w:szCs w:val="22"/>
              </w:rPr>
              <w:t xml:space="preserve">length of the waiting period from </w:t>
            </w:r>
            <w:r>
              <w:rPr>
                <w:rFonts w:ascii="Arial" w:hAnsi="Arial" w:cs="Arial"/>
                <w:sz w:val="22"/>
                <w:szCs w:val="22"/>
              </w:rPr>
              <w:t>t</w:t>
            </w:r>
            <w:r w:rsidRPr="00D40E65">
              <w:rPr>
                <w:rFonts w:ascii="Arial" w:hAnsi="Arial" w:cs="Arial"/>
                <w:sz w:val="22"/>
                <w:szCs w:val="22"/>
              </w:rPr>
              <w:t>he fixing of a trial diet to the date assigned</w:t>
            </w:r>
            <w:r>
              <w:rPr>
                <w:rFonts w:ascii="Arial" w:hAnsi="Arial" w:cs="Arial"/>
                <w:sz w:val="22"/>
                <w:szCs w:val="22"/>
              </w:rPr>
              <w:t>.</w:t>
            </w:r>
          </w:p>
          <w:p w:rsidR="00C1264C" w:rsidRPr="00D40E65" w:rsidRDefault="00C1264C"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4856C1" w:rsidRDefault="004856C1" w:rsidP="00364ED2">
            <w:pPr>
              <w:ind w:left="720"/>
              <w:rPr>
                <w:rFonts w:ascii="Arial" w:hAnsi="Arial" w:cs="Arial"/>
                <w:sz w:val="22"/>
                <w:szCs w:val="22"/>
              </w:rPr>
            </w:pPr>
          </w:p>
          <w:p w:rsidR="00ED0E87" w:rsidRPr="00D40E65" w:rsidRDefault="00ED0E87" w:rsidP="004856C1">
            <w:pPr>
              <w:rPr>
                <w:rFonts w:ascii="Arial" w:hAnsi="Arial" w:cs="Arial"/>
                <w:sz w:val="22"/>
                <w:szCs w:val="22"/>
              </w:rPr>
            </w:pPr>
          </w:p>
        </w:tc>
        <w:tc>
          <w:tcPr>
            <w:tcW w:w="3073" w:type="pct"/>
          </w:tcPr>
          <w:p w:rsidR="00544BFE" w:rsidRDefault="00544BFE" w:rsidP="00544BFE">
            <w:pPr>
              <w:rPr>
                <w:rFonts w:ascii="Arial" w:hAnsi="Arial" w:cs="Arial"/>
                <w:sz w:val="22"/>
                <w:szCs w:val="22"/>
              </w:rPr>
            </w:pPr>
            <w:r w:rsidRPr="00D40E65">
              <w:rPr>
                <w:rFonts w:ascii="Arial" w:hAnsi="Arial" w:cs="Arial"/>
                <w:sz w:val="22"/>
                <w:szCs w:val="22"/>
              </w:rPr>
              <w:t xml:space="preserve">The interests of justice are not served by excessive waiting periods for parties. </w:t>
            </w:r>
            <w:r>
              <w:rPr>
                <w:rFonts w:ascii="Arial" w:hAnsi="Arial" w:cs="Arial"/>
                <w:sz w:val="22"/>
                <w:szCs w:val="22"/>
              </w:rPr>
              <w:t>This figure provides an i</w:t>
            </w:r>
            <w:r w:rsidRPr="00D40E65">
              <w:rPr>
                <w:rFonts w:ascii="Arial" w:hAnsi="Arial" w:cs="Arial"/>
                <w:sz w:val="22"/>
                <w:szCs w:val="22"/>
              </w:rPr>
              <w:t xml:space="preserve">ndication of </w:t>
            </w:r>
            <w:r>
              <w:rPr>
                <w:rFonts w:ascii="Arial" w:hAnsi="Arial" w:cs="Arial"/>
                <w:sz w:val="22"/>
                <w:szCs w:val="22"/>
              </w:rPr>
              <w:t>the length of time</w:t>
            </w:r>
            <w:r w:rsidRPr="00D40E65">
              <w:rPr>
                <w:rFonts w:ascii="Arial" w:hAnsi="Arial" w:cs="Arial"/>
                <w:sz w:val="22"/>
                <w:szCs w:val="22"/>
              </w:rPr>
              <w:t xml:space="preserve"> </w:t>
            </w:r>
            <w:r>
              <w:rPr>
                <w:rFonts w:ascii="Arial" w:hAnsi="Arial" w:cs="Arial"/>
                <w:sz w:val="22"/>
                <w:szCs w:val="22"/>
              </w:rPr>
              <w:t>between a case first calling and the date on which it is likely to be heard, if it proceeds to trial</w:t>
            </w:r>
            <w:r w:rsidRPr="00D40E65">
              <w:rPr>
                <w:rFonts w:ascii="Arial" w:hAnsi="Arial" w:cs="Arial"/>
                <w:sz w:val="22"/>
                <w:szCs w:val="22"/>
              </w:rPr>
              <w:t xml:space="preserve">. </w:t>
            </w:r>
            <w:r>
              <w:rPr>
                <w:rFonts w:ascii="Arial" w:hAnsi="Arial" w:cs="Arial"/>
                <w:sz w:val="22"/>
                <w:szCs w:val="22"/>
              </w:rPr>
              <w:t xml:space="preserve"> </w:t>
            </w:r>
            <w:r w:rsidRPr="00D40E65">
              <w:rPr>
                <w:rFonts w:ascii="Arial" w:hAnsi="Arial" w:cs="Arial"/>
                <w:sz w:val="22"/>
                <w:szCs w:val="22"/>
              </w:rPr>
              <w:t>Deterioration in this figure will be indicative of pressure on the court system borne of increasing demand or shrinking capacity.</w:t>
            </w:r>
          </w:p>
          <w:p w:rsidR="00544BFE" w:rsidRDefault="00544BFE" w:rsidP="00544BFE">
            <w:pPr>
              <w:rPr>
                <w:rFonts w:ascii="Arial" w:hAnsi="Arial" w:cs="Arial"/>
                <w:sz w:val="22"/>
                <w:szCs w:val="22"/>
              </w:rPr>
            </w:pPr>
          </w:p>
          <w:p w:rsidR="00544BFE" w:rsidRDefault="00544BFE" w:rsidP="00544BFE">
            <w:pPr>
              <w:rPr>
                <w:rFonts w:ascii="Arial" w:hAnsi="Arial" w:cs="Arial"/>
                <w:sz w:val="22"/>
                <w:szCs w:val="22"/>
              </w:rPr>
            </w:pPr>
            <w:r w:rsidRPr="00D40E65">
              <w:rPr>
                <w:rFonts w:ascii="Arial" w:hAnsi="Arial" w:cs="Arial"/>
                <w:sz w:val="22"/>
                <w:szCs w:val="22"/>
              </w:rPr>
              <w:t>SC</w:t>
            </w:r>
            <w:r>
              <w:rPr>
                <w:rFonts w:ascii="Arial" w:hAnsi="Arial" w:cs="Arial"/>
                <w:sz w:val="22"/>
                <w:szCs w:val="22"/>
              </w:rPr>
              <w:t>T</w:t>
            </w:r>
            <w:r w:rsidRPr="00D40E65">
              <w:rPr>
                <w:rFonts w:ascii="Arial" w:hAnsi="Arial" w:cs="Arial"/>
                <w:sz w:val="22"/>
                <w:szCs w:val="22"/>
              </w:rPr>
              <w:t xml:space="preserve">S is not solely responsible for delay but has a </w:t>
            </w:r>
            <w:r>
              <w:rPr>
                <w:rFonts w:ascii="Arial" w:hAnsi="Arial" w:cs="Arial"/>
                <w:sz w:val="22"/>
                <w:szCs w:val="22"/>
              </w:rPr>
              <w:t xml:space="preserve">shared </w:t>
            </w:r>
            <w:r w:rsidRPr="00D40E65">
              <w:rPr>
                <w:rFonts w:ascii="Arial" w:hAnsi="Arial" w:cs="Arial"/>
                <w:sz w:val="22"/>
                <w:szCs w:val="22"/>
              </w:rPr>
              <w:t xml:space="preserve">responsibility to provide access </w:t>
            </w:r>
            <w:r>
              <w:rPr>
                <w:rFonts w:ascii="Arial" w:hAnsi="Arial" w:cs="Arial"/>
                <w:sz w:val="22"/>
                <w:szCs w:val="22"/>
              </w:rPr>
              <w:t>to justice in a reasonable time</w:t>
            </w:r>
            <w:r w:rsidRPr="00D40E65">
              <w:rPr>
                <w:rFonts w:ascii="Arial" w:hAnsi="Arial" w:cs="Arial"/>
                <w:sz w:val="22"/>
                <w:szCs w:val="22"/>
              </w:rPr>
              <w:t>frame</w:t>
            </w:r>
            <w:r>
              <w:rPr>
                <w:rFonts w:ascii="Arial" w:hAnsi="Arial" w:cs="Arial"/>
                <w:sz w:val="22"/>
                <w:szCs w:val="22"/>
              </w:rPr>
              <w:t xml:space="preserve"> – and is well placed to report on the length of time elapsing between these points in the process</w:t>
            </w:r>
            <w:r w:rsidRPr="00D40E65">
              <w:rPr>
                <w:rFonts w:ascii="Arial" w:hAnsi="Arial" w:cs="Arial"/>
                <w:sz w:val="22"/>
                <w:szCs w:val="22"/>
              </w:rPr>
              <w:t>.</w:t>
            </w:r>
          </w:p>
          <w:p w:rsidR="00C1264C" w:rsidRPr="00D40E65" w:rsidRDefault="00C1264C" w:rsidP="002F5CA5">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ED0E87" w:rsidRDefault="00ED0E87" w:rsidP="00364ED2">
            <w:pPr>
              <w:rPr>
                <w:rFonts w:ascii="Arial" w:hAnsi="Arial" w:cs="Arial"/>
                <w:sz w:val="22"/>
                <w:szCs w:val="22"/>
              </w:rPr>
            </w:pPr>
            <w:r w:rsidRPr="006C6A4F">
              <w:rPr>
                <w:rFonts w:ascii="Arial" w:hAnsi="Arial" w:cs="Arial"/>
                <w:sz w:val="22"/>
                <w:szCs w:val="22"/>
              </w:rPr>
              <w:t>Director Operations Delivery</w:t>
            </w:r>
          </w:p>
          <w:p w:rsidR="00C1264C" w:rsidRPr="00D40E65" w:rsidRDefault="00C1264C"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ED0E87" w:rsidRDefault="00CC59E8" w:rsidP="00364ED2">
            <w:pPr>
              <w:rPr>
                <w:rFonts w:ascii="Arial" w:hAnsi="Arial" w:cs="Arial"/>
                <w:sz w:val="22"/>
                <w:szCs w:val="22"/>
              </w:rPr>
            </w:pPr>
            <w:r>
              <w:rPr>
                <w:rFonts w:ascii="Arial" w:hAnsi="Arial" w:cs="Arial"/>
                <w:sz w:val="22"/>
                <w:szCs w:val="22"/>
              </w:rPr>
              <w:t>COP II Management I</w:t>
            </w:r>
            <w:r w:rsidR="00ED0E87" w:rsidRPr="004F32B6">
              <w:rPr>
                <w:rFonts w:ascii="Arial" w:hAnsi="Arial" w:cs="Arial"/>
                <w:sz w:val="22"/>
                <w:szCs w:val="22"/>
              </w:rPr>
              <w:t>nformation reports.</w:t>
            </w:r>
          </w:p>
          <w:p w:rsidR="00C1264C" w:rsidRPr="00D40E65" w:rsidRDefault="00C1264C" w:rsidP="00364ED2">
            <w:pPr>
              <w:rPr>
                <w:rFonts w:ascii="Arial" w:hAnsi="Arial" w:cs="Arial"/>
                <w:sz w:val="22"/>
                <w:szCs w:val="22"/>
              </w:rPr>
            </w:pPr>
          </w:p>
        </w:tc>
      </w:tr>
      <w:tr w:rsidR="004A474C" w:rsidRPr="00D40E65" w:rsidTr="00364ED2">
        <w:tc>
          <w:tcPr>
            <w:tcW w:w="1927" w:type="pct"/>
          </w:tcPr>
          <w:p w:rsidR="004A474C" w:rsidRPr="00D40E65" w:rsidRDefault="004A474C" w:rsidP="00364ED2">
            <w:pPr>
              <w:rPr>
                <w:rFonts w:ascii="Arial" w:hAnsi="Arial" w:cs="Arial"/>
                <w:sz w:val="22"/>
                <w:szCs w:val="22"/>
              </w:rPr>
            </w:pPr>
            <w:r w:rsidRPr="00D40E65">
              <w:rPr>
                <w:rFonts w:ascii="Arial" w:hAnsi="Arial" w:cs="Arial"/>
                <w:sz w:val="22"/>
                <w:szCs w:val="22"/>
              </w:rPr>
              <w:t>Basis of calculation</w:t>
            </w:r>
          </w:p>
        </w:tc>
        <w:tc>
          <w:tcPr>
            <w:tcW w:w="3073" w:type="pct"/>
          </w:tcPr>
          <w:p w:rsidR="004A474C" w:rsidRPr="00D40E65" w:rsidRDefault="004A474C" w:rsidP="008E1BB0">
            <w:pPr>
              <w:rPr>
                <w:rFonts w:ascii="Arial" w:hAnsi="Arial" w:cs="Arial"/>
                <w:sz w:val="22"/>
                <w:szCs w:val="22"/>
              </w:rPr>
            </w:pPr>
            <w:r>
              <w:rPr>
                <w:rFonts w:ascii="Arial" w:hAnsi="Arial" w:cs="Arial"/>
                <w:sz w:val="22"/>
                <w:szCs w:val="22"/>
              </w:rPr>
              <w:t>As per description of measure</w:t>
            </w:r>
          </w:p>
        </w:tc>
      </w:tr>
      <w:tr w:rsidR="004A474C" w:rsidRPr="00D40E65" w:rsidTr="00364ED2">
        <w:tc>
          <w:tcPr>
            <w:tcW w:w="1927" w:type="pct"/>
          </w:tcPr>
          <w:p w:rsidR="004A474C" w:rsidRPr="00D40E65" w:rsidRDefault="004A474C"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4A474C" w:rsidRPr="00CA06BF" w:rsidRDefault="004A474C" w:rsidP="00364ED2">
            <w:pPr>
              <w:rPr>
                <w:rFonts w:ascii="Arial" w:hAnsi="Arial" w:cs="Arial"/>
                <w:sz w:val="22"/>
                <w:szCs w:val="22"/>
              </w:rPr>
            </w:pPr>
            <w:r w:rsidRPr="00CA06BF">
              <w:rPr>
                <w:rFonts w:ascii="Arial" w:hAnsi="Arial" w:cs="Arial"/>
                <w:sz w:val="22"/>
                <w:szCs w:val="22"/>
              </w:rPr>
              <w:t>Red - Over 19 weeks</w:t>
            </w:r>
          </w:p>
          <w:p w:rsidR="004A474C" w:rsidRPr="00CA06BF" w:rsidRDefault="004A474C" w:rsidP="00364ED2">
            <w:pPr>
              <w:rPr>
                <w:rFonts w:ascii="Arial" w:hAnsi="Arial" w:cs="Arial"/>
                <w:sz w:val="22"/>
                <w:szCs w:val="22"/>
              </w:rPr>
            </w:pPr>
            <w:r w:rsidRPr="00CA06BF">
              <w:rPr>
                <w:rFonts w:ascii="Arial" w:hAnsi="Arial" w:cs="Arial"/>
                <w:sz w:val="22"/>
                <w:szCs w:val="22"/>
              </w:rPr>
              <w:t>Amber - Between 17 and 19 weeks</w:t>
            </w:r>
          </w:p>
          <w:p w:rsidR="004A474C" w:rsidRDefault="004A474C" w:rsidP="00364ED2">
            <w:pPr>
              <w:rPr>
                <w:rFonts w:ascii="Arial" w:hAnsi="Arial" w:cs="Arial"/>
                <w:sz w:val="22"/>
                <w:szCs w:val="22"/>
              </w:rPr>
            </w:pPr>
            <w:r w:rsidRPr="00CA06BF">
              <w:rPr>
                <w:rFonts w:ascii="Arial" w:hAnsi="Arial" w:cs="Arial"/>
                <w:sz w:val="22"/>
                <w:szCs w:val="22"/>
              </w:rPr>
              <w:t>Green - Under 17 weeks</w:t>
            </w:r>
          </w:p>
          <w:p w:rsidR="004A474C" w:rsidRPr="00D40E65" w:rsidRDefault="004A474C" w:rsidP="00364ED2">
            <w:pPr>
              <w:rPr>
                <w:rFonts w:ascii="Arial" w:hAnsi="Arial" w:cs="Arial"/>
                <w:sz w:val="22"/>
                <w:szCs w:val="22"/>
              </w:rPr>
            </w:pPr>
          </w:p>
        </w:tc>
      </w:tr>
      <w:tr w:rsidR="004A474C" w:rsidRPr="00D40E65" w:rsidTr="00364ED2">
        <w:tc>
          <w:tcPr>
            <w:tcW w:w="1927" w:type="pct"/>
          </w:tcPr>
          <w:p w:rsidR="004A474C" w:rsidRPr="00D40E65" w:rsidRDefault="004A474C"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4A474C" w:rsidRDefault="004A474C" w:rsidP="00364ED2">
            <w:pPr>
              <w:rPr>
                <w:rFonts w:ascii="Arial" w:hAnsi="Arial" w:cs="Arial"/>
                <w:sz w:val="22"/>
                <w:szCs w:val="22"/>
              </w:rPr>
            </w:pPr>
            <w:r>
              <w:rPr>
                <w:rFonts w:ascii="Arial" w:hAnsi="Arial" w:cs="Arial"/>
                <w:sz w:val="22"/>
                <w:szCs w:val="22"/>
              </w:rPr>
              <w:t>Quarterly</w:t>
            </w:r>
          </w:p>
          <w:p w:rsidR="004A474C" w:rsidRPr="00D40E65" w:rsidRDefault="004A474C" w:rsidP="00364ED2">
            <w:pPr>
              <w:rPr>
                <w:rFonts w:ascii="Arial" w:hAnsi="Arial" w:cs="Arial"/>
                <w:sz w:val="22"/>
                <w:szCs w:val="22"/>
              </w:rPr>
            </w:pPr>
          </w:p>
        </w:tc>
      </w:tr>
      <w:tr w:rsidR="004A474C" w:rsidRPr="00D40E65" w:rsidTr="00364ED2">
        <w:tc>
          <w:tcPr>
            <w:tcW w:w="1927" w:type="pct"/>
          </w:tcPr>
          <w:p w:rsidR="004A474C" w:rsidRPr="00D40E65" w:rsidRDefault="004A474C"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4A474C" w:rsidRDefault="004A474C" w:rsidP="00364ED2">
            <w:pPr>
              <w:rPr>
                <w:rFonts w:ascii="Arial" w:hAnsi="Arial" w:cs="Arial"/>
                <w:sz w:val="22"/>
                <w:szCs w:val="22"/>
              </w:rPr>
            </w:pPr>
            <w:r>
              <w:rPr>
                <w:rFonts w:ascii="Arial" w:hAnsi="Arial" w:cs="Arial"/>
                <w:sz w:val="22"/>
                <w:szCs w:val="22"/>
              </w:rPr>
              <w:t>Quarterly</w:t>
            </w:r>
          </w:p>
          <w:p w:rsidR="004A474C" w:rsidRPr="00D40E65" w:rsidRDefault="004A474C" w:rsidP="00364ED2">
            <w:pPr>
              <w:rPr>
                <w:rFonts w:ascii="Arial" w:hAnsi="Arial" w:cs="Arial"/>
                <w:sz w:val="22"/>
                <w:szCs w:val="22"/>
              </w:rPr>
            </w:pPr>
          </w:p>
        </w:tc>
      </w:tr>
      <w:tr w:rsidR="004A474C" w:rsidRPr="00D40E65" w:rsidTr="00364ED2">
        <w:tc>
          <w:tcPr>
            <w:tcW w:w="1927" w:type="pct"/>
          </w:tcPr>
          <w:p w:rsidR="004A474C" w:rsidRPr="00D40E65" w:rsidRDefault="004A474C" w:rsidP="00364ED2">
            <w:pPr>
              <w:rPr>
                <w:rFonts w:ascii="Arial" w:hAnsi="Arial" w:cs="Arial"/>
                <w:sz w:val="22"/>
                <w:szCs w:val="22"/>
              </w:rPr>
            </w:pPr>
            <w:r w:rsidRPr="00D40E65">
              <w:rPr>
                <w:rFonts w:ascii="Arial" w:hAnsi="Arial" w:cs="Arial"/>
                <w:sz w:val="22"/>
                <w:szCs w:val="22"/>
              </w:rPr>
              <w:t>Other Comments</w:t>
            </w:r>
          </w:p>
        </w:tc>
        <w:tc>
          <w:tcPr>
            <w:tcW w:w="3073" w:type="pct"/>
          </w:tcPr>
          <w:p w:rsidR="004A474C" w:rsidRPr="00D40E65" w:rsidRDefault="004A474C" w:rsidP="00364ED2">
            <w:pPr>
              <w:rPr>
                <w:rFonts w:ascii="Arial" w:hAnsi="Arial" w:cs="Arial"/>
                <w:sz w:val="22"/>
                <w:szCs w:val="22"/>
              </w:rPr>
            </w:pPr>
          </w:p>
        </w:tc>
      </w:tr>
    </w:tbl>
    <w:p w:rsidR="00ED0E87" w:rsidRDefault="00ED0E87" w:rsidP="00ED0E87">
      <w:pPr>
        <w:rPr>
          <w:rFonts w:ascii="Arial" w:hAnsi="Arial" w:cs="Arial"/>
          <w:sz w:val="22"/>
          <w:szCs w:val="22"/>
        </w:rPr>
      </w:pPr>
    </w:p>
    <w:p w:rsidR="00A1247E" w:rsidRDefault="00A1247E" w:rsidP="00ED0E87">
      <w:pPr>
        <w:rPr>
          <w:rFonts w:ascii="Arial" w:hAnsi="Arial" w:cs="Arial"/>
          <w:sz w:val="22"/>
          <w:szCs w:val="22"/>
        </w:rPr>
        <w:sectPr w:rsidR="00A1247E">
          <w:pgSz w:w="11906" w:h="16838"/>
          <w:pgMar w:top="1440" w:right="1800" w:bottom="1440" w:left="1800" w:header="708" w:footer="708" w:gutter="0"/>
          <w:cols w:space="708"/>
          <w:docGrid w:linePitch="360"/>
        </w:sectPr>
      </w:pPr>
    </w:p>
    <w:p w:rsidR="00B81250" w:rsidRDefault="00B81250"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753200" w:rsidRPr="00D40E65" w:rsidTr="00753200">
        <w:trPr>
          <w:trHeight w:val="466"/>
        </w:trPr>
        <w:tc>
          <w:tcPr>
            <w:tcW w:w="1927" w:type="pct"/>
            <w:shd w:val="clear" w:color="auto" w:fill="0FC1A3"/>
          </w:tcPr>
          <w:p w:rsidR="00753200" w:rsidRPr="00D40E65" w:rsidRDefault="00753200" w:rsidP="00753200">
            <w:pPr>
              <w:rPr>
                <w:rFonts w:ascii="Arial" w:hAnsi="Arial" w:cs="Arial"/>
                <w:b/>
                <w:sz w:val="22"/>
                <w:szCs w:val="22"/>
              </w:rPr>
            </w:pPr>
            <w:r w:rsidRPr="00940BCB">
              <w:rPr>
                <w:rFonts w:ascii="Arial" w:hAnsi="Arial" w:cs="Arial"/>
                <w:b/>
                <w:szCs w:val="22"/>
              </w:rPr>
              <w:t>Strategic Priority 5</w:t>
            </w:r>
          </w:p>
        </w:tc>
        <w:tc>
          <w:tcPr>
            <w:tcW w:w="3073" w:type="pct"/>
            <w:shd w:val="clear" w:color="auto" w:fill="0FC1A3"/>
          </w:tcPr>
          <w:p w:rsidR="00753200" w:rsidRPr="00D40E65" w:rsidRDefault="00753200" w:rsidP="00753200">
            <w:pPr>
              <w:rPr>
                <w:rFonts w:ascii="Arial" w:hAnsi="Arial" w:cs="Arial"/>
                <w:b/>
                <w:sz w:val="22"/>
                <w:szCs w:val="22"/>
              </w:rPr>
            </w:pPr>
            <w:r w:rsidRPr="00940BCB">
              <w:rPr>
                <w:rFonts w:ascii="Arial" w:hAnsi="Arial" w:cs="Arial"/>
                <w:b/>
                <w:szCs w:val="22"/>
              </w:rPr>
              <w:t>Efficient Business Processes</w:t>
            </w:r>
          </w:p>
        </w:tc>
      </w:tr>
      <w:tr w:rsidR="00ED0E87" w:rsidRPr="00D40E65" w:rsidTr="00364ED2">
        <w:tc>
          <w:tcPr>
            <w:tcW w:w="1927" w:type="pct"/>
          </w:tcPr>
          <w:p w:rsidR="00ED0E87" w:rsidRPr="00D40E65" w:rsidRDefault="00ED0E87" w:rsidP="00280DA5">
            <w:pPr>
              <w:rPr>
                <w:rFonts w:ascii="Arial" w:hAnsi="Arial" w:cs="Arial"/>
                <w:b/>
                <w:sz w:val="22"/>
                <w:szCs w:val="22"/>
              </w:rPr>
            </w:pPr>
            <w:r>
              <w:rPr>
                <w:rFonts w:ascii="Arial" w:hAnsi="Arial" w:cs="Arial"/>
                <w:b/>
                <w:sz w:val="22"/>
                <w:szCs w:val="22"/>
              </w:rPr>
              <w:t>Measure</w:t>
            </w:r>
            <w:r w:rsidRPr="00123360">
              <w:rPr>
                <w:rFonts w:ascii="Arial" w:hAnsi="Arial" w:cs="Arial"/>
                <w:b/>
                <w:sz w:val="22"/>
                <w:szCs w:val="22"/>
              </w:rPr>
              <w:t xml:space="preserve"> 5</w:t>
            </w:r>
            <w:r w:rsidR="006A6D8B">
              <w:rPr>
                <w:rFonts w:ascii="Arial" w:hAnsi="Arial" w:cs="Arial"/>
                <w:b/>
                <w:sz w:val="22"/>
                <w:szCs w:val="22"/>
              </w:rPr>
              <w:t>(</w:t>
            </w:r>
            <w:r>
              <w:rPr>
                <w:rFonts w:ascii="Arial" w:hAnsi="Arial" w:cs="Arial"/>
                <w:b/>
                <w:sz w:val="22"/>
                <w:szCs w:val="22"/>
              </w:rPr>
              <w:t>c</w:t>
            </w:r>
            <w:r w:rsidR="006A6D8B">
              <w:rPr>
                <w:rFonts w:ascii="Arial" w:hAnsi="Arial" w:cs="Arial"/>
                <w:b/>
                <w:sz w:val="22"/>
                <w:szCs w:val="22"/>
              </w:rPr>
              <w:t>)</w:t>
            </w:r>
          </w:p>
        </w:tc>
        <w:tc>
          <w:tcPr>
            <w:tcW w:w="3073" w:type="pct"/>
          </w:tcPr>
          <w:p w:rsidR="00A1247E" w:rsidRDefault="00F66F1E" w:rsidP="00F66F1E">
            <w:pPr>
              <w:rPr>
                <w:rFonts w:ascii="Arial" w:hAnsi="Arial" w:cs="Arial"/>
                <w:b/>
                <w:sz w:val="22"/>
                <w:szCs w:val="22"/>
              </w:rPr>
            </w:pPr>
            <w:r>
              <w:rPr>
                <w:rFonts w:ascii="Arial" w:hAnsi="Arial" w:cs="Arial"/>
                <w:b/>
                <w:sz w:val="22"/>
                <w:szCs w:val="22"/>
              </w:rPr>
              <w:t>Summary trials adjourned with no evidence led</w:t>
            </w:r>
          </w:p>
          <w:p w:rsidR="00F66F1E" w:rsidRDefault="00F66F1E" w:rsidP="00F66F1E">
            <w:pPr>
              <w:rPr>
                <w:rFonts w:ascii="Arial" w:hAnsi="Arial" w:cs="Arial"/>
                <w:b/>
                <w:sz w:val="22"/>
                <w:szCs w:val="22"/>
              </w:rPr>
            </w:pPr>
            <w:r>
              <w:rPr>
                <w:rFonts w:ascii="Arial" w:hAnsi="Arial" w:cs="Arial"/>
                <w:sz w:val="22"/>
                <w:szCs w:val="22"/>
              </w:rPr>
              <w:t xml:space="preserve">Previously called </w:t>
            </w:r>
            <w:r w:rsidRPr="00F66F1E">
              <w:rPr>
                <w:rFonts w:ascii="Arial" w:hAnsi="Arial" w:cs="Arial"/>
                <w:i/>
                <w:sz w:val="22"/>
                <w:szCs w:val="22"/>
              </w:rPr>
              <w:t>Ineffective use of court time</w:t>
            </w:r>
          </w:p>
          <w:p w:rsidR="00F66F1E" w:rsidRPr="00F66F1E" w:rsidRDefault="00F66F1E" w:rsidP="00F66F1E">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The proportion of summary trials called at which no evidence is led and that are subsequently adjourned to a further trial diet.</w:t>
            </w:r>
          </w:p>
          <w:p w:rsidR="00A1247E" w:rsidRPr="00D40E65" w:rsidRDefault="00A1247E"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ED0E87" w:rsidRDefault="00ED0E87" w:rsidP="00364ED2">
            <w:pPr>
              <w:rPr>
                <w:rFonts w:ascii="Arial" w:hAnsi="Arial" w:cs="Arial"/>
                <w:sz w:val="22"/>
                <w:szCs w:val="22"/>
              </w:rPr>
            </w:pPr>
          </w:p>
          <w:p w:rsidR="00ED0E87" w:rsidRPr="00D40E65" w:rsidRDefault="00ED0E87" w:rsidP="00364ED2">
            <w:pPr>
              <w:rPr>
                <w:rFonts w:ascii="Arial" w:hAnsi="Arial" w:cs="Arial"/>
                <w:sz w:val="22"/>
                <w:szCs w:val="22"/>
              </w:rPr>
            </w:pP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The failure of trials to proceed when scheduled undermines the SC</w:t>
            </w:r>
            <w:r w:rsidR="0082280B">
              <w:rPr>
                <w:rFonts w:ascii="Arial" w:hAnsi="Arial" w:cs="Arial"/>
                <w:sz w:val="22"/>
                <w:szCs w:val="22"/>
              </w:rPr>
              <w:t>T</w:t>
            </w:r>
            <w:r w:rsidRPr="00D40E65">
              <w:rPr>
                <w:rFonts w:ascii="Arial" w:hAnsi="Arial" w:cs="Arial"/>
                <w:sz w:val="22"/>
                <w:szCs w:val="22"/>
              </w:rPr>
              <w:t>S’ ability to manage a cost-effective court programme and has other dis-benefits such as wasting police time and inconveniencing witnesses.</w:t>
            </w:r>
          </w:p>
          <w:p w:rsidR="00A1247E" w:rsidRPr="00D40E65" w:rsidRDefault="00A1247E"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Trials not proceeding are a consequence of a number of factors</w:t>
            </w:r>
            <w:r w:rsidR="00A1247E">
              <w:rPr>
                <w:rFonts w:ascii="Arial" w:hAnsi="Arial" w:cs="Arial"/>
                <w:sz w:val="22"/>
                <w:szCs w:val="22"/>
              </w:rPr>
              <w:t xml:space="preserve"> –</w:t>
            </w:r>
            <w:r w:rsidRPr="00D40E65">
              <w:rPr>
                <w:rFonts w:ascii="Arial" w:hAnsi="Arial" w:cs="Arial"/>
                <w:sz w:val="22"/>
                <w:szCs w:val="22"/>
              </w:rPr>
              <w:t xml:space="preserve"> primarily lack of preparation or witness non-attendance. </w:t>
            </w:r>
            <w:r w:rsidR="0082280B">
              <w:rPr>
                <w:rFonts w:ascii="Arial" w:hAnsi="Arial" w:cs="Arial"/>
                <w:sz w:val="22"/>
                <w:szCs w:val="22"/>
              </w:rPr>
              <w:t xml:space="preserve"> </w:t>
            </w:r>
            <w:r w:rsidRPr="00D40E65">
              <w:rPr>
                <w:rFonts w:ascii="Arial" w:hAnsi="Arial" w:cs="Arial"/>
                <w:sz w:val="22"/>
                <w:szCs w:val="22"/>
              </w:rPr>
              <w:t>A reduction in this indicator will be a result of system improvement which will directly impact the cost effectiveness of the SC</w:t>
            </w:r>
            <w:r w:rsidR="0082280B">
              <w:rPr>
                <w:rFonts w:ascii="Arial" w:hAnsi="Arial" w:cs="Arial"/>
                <w:sz w:val="22"/>
                <w:szCs w:val="22"/>
              </w:rPr>
              <w:t>T</w:t>
            </w:r>
            <w:r w:rsidRPr="00D40E65">
              <w:rPr>
                <w:rFonts w:ascii="Arial" w:hAnsi="Arial" w:cs="Arial"/>
                <w:sz w:val="22"/>
                <w:szCs w:val="22"/>
              </w:rPr>
              <w:t>S</w:t>
            </w:r>
            <w:r w:rsidR="0082280B">
              <w:rPr>
                <w:rFonts w:ascii="Arial" w:hAnsi="Arial" w:cs="Arial"/>
                <w:sz w:val="22"/>
                <w:szCs w:val="22"/>
              </w:rPr>
              <w:t xml:space="preserve"> and the efficiency of the wider system</w:t>
            </w:r>
            <w:r>
              <w:rPr>
                <w:rFonts w:ascii="Arial" w:hAnsi="Arial" w:cs="Arial"/>
                <w:sz w:val="22"/>
                <w:szCs w:val="22"/>
              </w:rPr>
              <w:t>.</w:t>
            </w:r>
          </w:p>
          <w:p w:rsidR="00A1247E" w:rsidRPr="00D40E65" w:rsidRDefault="00A1247E"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ED0E87" w:rsidRDefault="00ED0E87" w:rsidP="00364ED2">
            <w:pPr>
              <w:rPr>
                <w:rFonts w:ascii="Arial" w:hAnsi="Arial" w:cs="Arial"/>
                <w:sz w:val="22"/>
                <w:szCs w:val="22"/>
              </w:rPr>
            </w:pPr>
            <w:r w:rsidRPr="0033094D">
              <w:rPr>
                <w:rFonts w:ascii="Arial" w:hAnsi="Arial" w:cs="Arial"/>
                <w:sz w:val="22"/>
                <w:szCs w:val="22"/>
              </w:rPr>
              <w:t>Director Operations Delivery</w:t>
            </w:r>
          </w:p>
          <w:p w:rsidR="00A1247E" w:rsidRPr="00D40E65" w:rsidRDefault="00A1247E"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COP II management information reports</w:t>
            </w:r>
            <w:r>
              <w:rPr>
                <w:rFonts w:ascii="Arial" w:hAnsi="Arial" w:cs="Arial"/>
                <w:sz w:val="22"/>
                <w:szCs w:val="22"/>
              </w:rPr>
              <w:t>.</w:t>
            </w:r>
          </w:p>
          <w:p w:rsidR="00A1247E" w:rsidRPr="00D40E65" w:rsidRDefault="00A1247E"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A1247E" w:rsidRDefault="00ED0E87" w:rsidP="00364ED2">
            <w:pPr>
              <w:rPr>
                <w:rFonts w:ascii="Arial" w:hAnsi="Arial" w:cs="Arial"/>
                <w:sz w:val="22"/>
                <w:szCs w:val="22"/>
              </w:rPr>
            </w:pPr>
            <w:r w:rsidRPr="00D40E65">
              <w:rPr>
                <w:rFonts w:ascii="Arial" w:hAnsi="Arial" w:cs="Arial"/>
                <w:sz w:val="22"/>
                <w:szCs w:val="22"/>
              </w:rPr>
              <w:t>For each quarter, the proportion of accused persons who appear at a trial diet at which no evidence is led and a further trial is fixed.</w:t>
            </w:r>
          </w:p>
          <w:p w:rsidR="00ED0E87" w:rsidRPr="00D40E65" w:rsidRDefault="00ED0E87"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ED0E87" w:rsidRDefault="00ED0E87" w:rsidP="00364ED2">
            <w:pPr>
              <w:rPr>
                <w:rFonts w:ascii="Arial" w:hAnsi="Arial" w:cs="Arial"/>
                <w:sz w:val="22"/>
                <w:szCs w:val="22"/>
              </w:rPr>
            </w:pPr>
            <w:r>
              <w:rPr>
                <w:rFonts w:ascii="Arial" w:hAnsi="Arial" w:cs="Arial"/>
                <w:sz w:val="22"/>
                <w:szCs w:val="22"/>
              </w:rPr>
              <w:t>The</w:t>
            </w:r>
            <w:r w:rsidR="0082280B">
              <w:rPr>
                <w:rFonts w:ascii="Arial" w:hAnsi="Arial" w:cs="Arial"/>
                <w:sz w:val="22"/>
                <w:szCs w:val="22"/>
              </w:rPr>
              <w:t xml:space="preserve"> baseline</w:t>
            </w:r>
            <w:r w:rsidRPr="00D40E65">
              <w:rPr>
                <w:rFonts w:ascii="Arial" w:hAnsi="Arial" w:cs="Arial"/>
                <w:sz w:val="22"/>
                <w:szCs w:val="22"/>
              </w:rPr>
              <w:t xml:space="preserve"> </w:t>
            </w:r>
            <w:r>
              <w:rPr>
                <w:rFonts w:ascii="Arial" w:hAnsi="Arial" w:cs="Arial"/>
                <w:sz w:val="22"/>
                <w:szCs w:val="22"/>
              </w:rPr>
              <w:t xml:space="preserve">performance in </w:t>
            </w:r>
            <w:r w:rsidRPr="00D40E65">
              <w:rPr>
                <w:rFonts w:ascii="Arial" w:hAnsi="Arial" w:cs="Arial"/>
                <w:sz w:val="22"/>
                <w:szCs w:val="22"/>
              </w:rPr>
              <w:t>2</w:t>
            </w:r>
            <w:r>
              <w:rPr>
                <w:rFonts w:ascii="Arial" w:hAnsi="Arial" w:cs="Arial"/>
                <w:sz w:val="22"/>
                <w:szCs w:val="22"/>
              </w:rPr>
              <w:t>010-</w:t>
            </w:r>
            <w:r w:rsidRPr="00D40E65">
              <w:rPr>
                <w:rFonts w:ascii="Arial" w:hAnsi="Arial" w:cs="Arial"/>
                <w:sz w:val="22"/>
                <w:szCs w:val="22"/>
              </w:rPr>
              <w:t xml:space="preserve">11 </w:t>
            </w:r>
            <w:r>
              <w:rPr>
                <w:rFonts w:ascii="Arial" w:hAnsi="Arial" w:cs="Arial"/>
                <w:sz w:val="22"/>
                <w:szCs w:val="22"/>
              </w:rPr>
              <w:t>was 36.1%.</w:t>
            </w:r>
          </w:p>
          <w:p w:rsidR="00A1247E" w:rsidRPr="00D40E65" w:rsidRDefault="00A1247E" w:rsidP="00364ED2">
            <w:pPr>
              <w:rPr>
                <w:rFonts w:ascii="Arial" w:hAnsi="Arial" w:cs="Arial"/>
                <w:sz w:val="22"/>
                <w:szCs w:val="22"/>
              </w:rPr>
            </w:pPr>
          </w:p>
          <w:p w:rsidR="00ED0E87" w:rsidRPr="00D40E65" w:rsidRDefault="00ED0E87" w:rsidP="00364ED2">
            <w:pPr>
              <w:rPr>
                <w:rFonts w:ascii="Arial" w:hAnsi="Arial" w:cs="Arial"/>
                <w:sz w:val="22"/>
                <w:szCs w:val="22"/>
              </w:rPr>
            </w:pPr>
            <w:r w:rsidRPr="00D40E65">
              <w:rPr>
                <w:rFonts w:ascii="Arial" w:hAnsi="Arial" w:cs="Arial"/>
                <w:sz w:val="22"/>
                <w:szCs w:val="22"/>
              </w:rPr>
              <w:t>Red &gt;3</w:t>
            </w:r>
            <w:r>
              <w:rPr>
                <w:rFonts w:ascii="Arial" w:hAnsi="Arial" w:cs="Arial"/>
                <w:sz w:val="22"/>
                <w:szCs w:val="22"/>
              </w:rPr>
              <w:t>5</w:t>
            </w:r>
            <w:r w:rsidRPr="00D40E65">
              <w:rPr>
                <w:rFonts w:ascii="Arial" w:hAnsi="Arial" w:cs="Arial"/>
                <w:sz w:val="22"/>
                <w:szCs w:val="22"/>
              </w:rPr>
              <w:t>%</w:t>
            </w:r>
            <w:r w:rsidRPr="00D40E65">
              <w:rPr>
                <w:rFonts w:ascii="Arial" w:hAnsi="Arial" w:cs="Arial"/>
                <w:sz w:val="22"/>
                <w:szCs w:val="22"/>
              </w:rPr>
              <w:tab/>
            </w:r>
          </w:p>
          <w:p w:rsidR="00ED0E87" w:rsidRPr="00D40E65" w:rsidRDefault="00ED0E87" w:rsidP="00364ED2">
            <w:pPr>
              <w:rPr>
                <w:rFonts w:ascii="Arial" w:hAnsi="Arial" w:cs="Arial"/>
                <w:sz w:val="22"/>
                <w:szCs w:val="22"/>
              </w:rPr>
            </w:pPr>
            <w:r w:rsidRPr="00D40E65">
              <w:rPr>
                <w:rFonts w:ascii="Arial" w:hAnsi="Arial" w:cs="Arial"/>
                <w:sz w:val="22"/>
                <w:szCs w:val="22"/>
              </w:rPr>
              <w:t>Amber 3</w:t>
            </w:r>
            <w:r>
              <w:rPr>
                <w:rFonts w:ascii="Arial" w:hAnsi="Arial" w:cs="Arial"/>
                <w:sz w:val="22"/>
                <w:szCs w:val="22"/>
              </w:rPr>
              <w:t>5</w:t>
            </w:r>
            <w:r w:rsidRPr="00D40E65">
              <w:rPr>
                <w:rFonts w:ascii="Arial" w:hAnsi="Arial" w:cs="Arial"/>
                <w:sz w:val="22"/>
                <w:szCs w:val="22"/>
              </w:rPr>
              <w:t>-3</w:t>
            </w:r>
            <w:r>
              <w:rPr>
                <w:rFonts w:ascii="Arial" w:hAnsi="Arial" w:cs="Arial"/>
                <w:sz w:val="22"/>
                <w:szCs w:val="22"/>
              </w:rPr>
              <w:t>0</w:t>
            </w:r>
            <w:r w:rsidRPr="00D40E65">
              <w:rPr>
                <w:rFonts w:ascii="Arial" w:hAnsi="Arial" w:cs="Arial"/>
                <w:sz w:val="22"/>
                <w:szCs w:val="22"/>
              </w:rPr>
              <w:t>%</w:t>
            </w:r>
            <w:r w:rsidRPr="00D40E65">
              <w:rPr>
                <w:rFonts w:ascii="Arial" w:hAnsi="Arial" w:cs="Arial"/>
                <w:sz w:val="22"/>
                <w:szCs w:val="22"/>
              </w:rPr>
              <w:tab/>
            </w:r>
          </w:p>
          <w:p w:rsidR="00A1247E" w:rsidRDefault="00ED0E87" w:rsidP="00364ED2">
            <w:pPr>
              <w:rPr>
                <w:rFonts w:ascii="Arial" w:hAnsi="Arial" w:cs="Arial"/>
                <w:color w:val="FF0000"/>
                <w:sz w:val="22"/>
                <w:szCs w:val="22"/>
              </w:rPr>
            </w:pPr>
            <w:r w:rsidRPr="00D40E65">
              <w:rPr>
                <w:rFonts w:ascii="Arial" w:hAnsi="Arial" w:cs="Arial"/>
                <w:sz w:val="22"/>
                <w:szCs w:val="22"/>
              </w:rPr>
              <w:t>Green &lt;</w:t>
            </w:r>
            <w:r>
              <w:rPr>
                <w:rFonts w:ascii="Arial" w:hAnsi="Arial" w:cs="Arial"/>
                <w:sz w:val="22"/>
                <w:szCs w:val="22"/>
              </w:rPr>
              <w:t>30</w:t>
            </w:r>
            <w:r w:rsidRPr="00D40E65">
              <w:rPr>
                <w:rFonts w:ascii="Arial" w:hAnsi="Arial" w:cs="Arial"/>
                <w:sz w:val="22"/>
                <w:szCs w:val="22"/>
              </w:rPr>
              <w:t>%</w:t>
            </w:r>
          </w:p>
          <w:p w:rsidR="00ED0E87" w:rsidRPr="006519C3" w:rsidRDefault="00ED0E87" w:rsidP="00364ED2">
            <w:pPr>
              <w:rPr>
                <w:rFonts w:ascii="Arial" w:hAnsi="Arial" w:cs="Arial"/>
                <w:color w:val="FF0000"/>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Monthly</w:t>
            </w:r>
          </w:p>
          <w:p w:rsidR="00A1247E" w:rsidRPr="00D40E65" w:rsidRDefault="00A1247E"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A1247E" w:rsidRPr="00D40E65" w:rsidRDefault="00A1247E"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Other Comments</w:t>
            </w:r>
          </w:p>
        </w:tc>
        <w:tc>
          <w:tcPr>
            <w:tcW w:w="3073" w:type="pct"/>
          </w:tcPr>
          <w:p w:rsidR="00ED0E87" w:rsidRDefault="00A1247E" w:rsidP="0082280B">
            <w:pPr>
              <w:rPr>
                <w:rFonts w:ascii="Arial" w:hAnsi="Arial" w:cs="Arial"/>
                <w:sz w:val="22"/>
                <w:szCs w:val="22"/>
              </w:rPr>
            </w:pPr>
            <w:r>
              <w:rPr>
                <w:rFonts w:ascii="Arial" w:hAnsi="Arial" w:cs="Arial"/>
                <w:sz w:val="22"/>
                <w:szCs w:val="22"/>
              </w:rPr>
              <w:t>This indicator is part of a shared set of assumptions monitored by</w:t>
            </w:r>
            <w:r w:rsidRPr="00DC74D8">
              <w:rPr>
                <w:rFonts w:ascii="Arial" w:hAnsi="Arial" w:cs="Arial"/>
                <w:sz w:val="22"/>
                <w:szCs w:val="22"/>
              </w:rPr>
              <w:t xml:space="preserve"> </w:t>
            </w:r>
            <w:r w:rsidR="00ED0E87" w:rsidRPr="00DC74D8">
              <w:rPr>
                <w:rFonts w:ascii="Arial" w:hAnsi="Arial" w:cs="Arial"/>
                <w:sz w:val="22"/>
                <w:szCs w:val="22"/>
              </w:rPr>
              <w:t>the</w:t>
            </w:r>
            <w:r w:rsidR="0082280B">
              <w:rPr>
                <w:rFonts w:ascii="Arial" w:hAnsi="Arial" w:cs="Arial"/>
                <w:sz w:val="22"/>
                <w:szCs w:val="22"/>
              </w:rPr>
              <w:t xml:space="preserve"> Scottish Government’s</w:t>
            </w:r>
            <w:r w:rsidR="00ED0E87" w:rsidRPr="00DC74D8">
              <w:rPr>
                <w:rFonts w:ascii="Arial" w:hAnsi="Arial" w:cs="Arial"/>
                <w:sz w:val="22"/>
                <w:szCs w:val="22"/>
              </w:rPr>
              <w:t xml:space="preserve"> Making Justice Work Programme.</w:t>
            </w:r>
          </w:p>
          <w:p w:rsidR="0082280B" w:rsidRPr="00DC74D8" w:rsidRDefault="0082280B" w:rsidP="0082280B">
            <w:pPr>
              <w:rPr>
                <w:rFonts w:ascii="Arial" w:hAnsi="Arial" w:cs="Arial"/>
                <w:sz w:val="22"/>
                <w:szCs w:val="22"/>
              </w:rPr>
            </w:pPr>
          </w:p>
        </w:tc>
      </w:tr>
    </w:tbl>
    <w:p w:rsidR="00ED0E87" w:rsidRDefault="00ED0E87" w:rsidP="00ED0E87">
      <w:pPr>
        <w:rPr>
          <w:rFonts w:ascii="Arial" w:hAnsi="Arial" w:cs="Arial"/>
          <w:b/>
          <w:sz w:val="22"/>
          <w:szCs w:val="22"/>
        </w:rPr>
      </w:pPr>
    </w:p>
    <w:p w:rsidR="00A1247E" w:rsidRDefault="00A1247E" w:rsidP="00ED0E87">
      <w:pPr>
        <w:rPr>
          <w:rFonts w:ascii="Arial" w:hAnsi="Arial" w:cs="Arial"/>
          <w:b/>
          <w:sz w:val="22"/>
          <w:szCs w:val="22"/>
        </w:rPr>
        <w:sectPr w:rsidR="00A1247E">
          <w:pgSz w:w="11906" w:h="16838"/>
          <w:pgMar w:top="1440" w:right="1800" w:bottom="1440" w:left="1800" w:header="708" w:footer="708" w:gutter="0"/>
          <w:cols w:space="708"/>
          <w:docGrid w:linePitch="360"/>
        </w:sectPr>
      </w:pPr>
    </w:p>
    <w:p w:rsidR="00247DCE" w:rsidRDefault="00247DCE" w:rsidP="00ED0E87">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753200" w:rsidRPr="00D40E65" w:rsidTr="00753200">
        <w:trPr>
          <w:trHeight w:val="466"/>
        </w:trPr>
        <w:tc>
          <w:tcPr>
            <w:tcW w:w="1927" w:type="pct"/>
            <w:shd w:val="clear" w:color="auto" w:fill="0FC1A3"/>
          </w:tcPr>
          <w:p w:rsidR="00753200" w:rsidRPr="00D40E65" w:rsidRDefault="00753200" w:rsidP="00753200">
            <w:pPr>
              <w:rPr>
                <w:rFonts w:ascii="Arial" w:hAnsi="Arial" w:cs="Arial"/>
                <w:b/>
                <w:sz w:val="22"/>
                <w:szCs w:val="22"/>
              </w:rPr>
            </w:pPr>
            <w:r w:rsidRPr="00940BCB">
              <w:rPr>
                <w:rFonts w:ascii="Arial" w:hAnsi="Arial" w:cs="Arial"/>
                <w:b/>
                <w:szCs w:val="22"/>
              </w:rPr>
              <w:t>Strategic Priority 5</w:t>
            </w:r>
          </w:p>
        </w:tc>
        <w:tc>
          <w:tcPr>
            <w:tcW w:w="3073" w:type="pct"/>
            <w:shd w:val="clear" w:color="auto" w:fill="0FC1A3"/>
          </w:tcPr>
          <w:p w:rsidR="00753200" w:rsidRPr="00D40E65" w:rsidRDefault="00753200" w:rsidP="00753200">
            <w:pPr>
              <w:rPr>
                <w:rFonts w:ascii="Arial" w:hAnsi="Arial" w:cs="Arial"/>
                <w:b/>
                <w:sz w:val="22"/>
                <w:szCs w:val="22"/>
              </w:rPr>
            </w:pPr>
            <w:r w:rsidRPr="00940BCB">
              <w:rPr>
                <w:rFonts w:ascii="Arial" w:hAnsi="Arial" w:cs="Arial"/>
                <w:b/>
                <w:szCs w:val="22"/>
              </w:rPr>
              <w:t>Efficient Business Processes</w:t>
            </w:r>
          </w:p>
        </w:tc>
      </w:tr>
      <w:tr w:rsidR="00ED0E87" w:rsidRPr="00D40E65" w:rsidTr="00364ED2">
        <w:tc>
          <w:tcPr>
            <w:tcW w:w="1927" w:type="pct"/>
          </w:tcPr>
          <w:p w:rsidR="00ED0E87" w:rsidRPr="00D40E65" w:rsidRDefault="00E065E2" w:rsidP="00FB4A0E">
            <w:pPr>
              <w:rPr>
                <w:rFonts w:ascii="Arial" w:hAnsi="Arial" w:cs="Arial"/>
                <w:b/>
                <w:sz w:val="22"/>
                <w:szCs w:val="22"/>
              </w:rPr>
            </w:pPr>
            <w:r w:rsidRPr="00E065E2">
              <w:rPr>
                <w:rFonts w:ascii="Arial" w:hAnsi="Arial" w:cs="Arial"/>
                <w:b/>
                <w:sz w:val="22"/>
                <w:szCs w:val="22"/>
              </w:rPr>
              <w:t xml:space="preserve">Measure </w:t>
            </w:r>
            <w:r w:rsidR="00ED0E87" w:rsidRPr="00324075">
              <w:rPr>
                <w:rFonts w:ascii="Arial" w:hAnsi="Arial" w:cs="Arial"/>
                <w:b/>
                <w:sz w:val="22"/>
                <w:szCs w:val="22"/>
              </w:rPr>
              <w:t>5</w:t>
            </w:r>
            <w:r w:rsidR="006A6D8B">
              <w:rPr>
                <w:rFonts w:ascii="Arial" w:hAnsi="Arial" w:cs="Arial"/>
                <w:b/>
                <w:sz w:val="22"/>
                <w:szCs w:val="22"/>
              </w:rPr>
              <w:t>(</w:t>
            </w:r>
            <w:r w:rsidR="00FB4A0E">
              <w:rPr>
                <w:rFonts w:ascii="Arial" w:hAnsi="Arial" w:cs="Arial"/>
                <w:b/>
                <w:sz w:val="22"/>
                <w:szCs w:val="22"/>
              </w:rPr>
              <w:t>d</w:t>
            </w:r>
            <w:r w:rsidR="006A6D8B">
              <w:rPr>
                <w:rFonts w:ascii="Arial" w:hAnsi="Arial" w:cs="Arial"/>
                <w:b/>
                <w:sz w:val="22"/>
                <w:szCs w:val="22"/>
              </w:rPr>
              <w:t>)</w:t>
            </w:r>
          </w:p>
        </w:tc>
        <w:tc>
          <w:tcPr>
            <w:tcW w:w="3073" w:type="pct"/>
          </w:tcPr>
          <w:p w:rsidR="00ED0E87" w:rsidRPr="00D40E65" w:rsidRDefault="00F77E02" w:rsidP="00364ED2">
            <w:pPr>
              <w:rPr>
                <w:rFonts w:ascii="Arial" w:hAnsi="Arial" w:cs="Arial"/>
                <w:b/>
                <w:sz w:val="22"/>
                <w:szCs w:val="22"/>
              </w:rPr>
            </w:pPr>
            <w:bookmarkStart w:id="1" w:name="OLE_LINK1"/>
            <w:r>
              <w:rPr>
                <w:rFonts w:ascii="Arial" w:hAnsi="Arial" w:cs="Arial"/>
                <w:b/>
                <w:sz w:val="22"/>
                <w:szCs w:val="22"/>
              </w:rPr>
              <w:t>Court</w:t>
            </w:r>
            <w:r w:rsidR="00ED0E87" w:rsidRPr="00E83E7E">
              <w:rPr>
                <w:rFonts w:ascii="Arial" w:hAnsi="Arial" w:cs="Arial"/>
                <w:b/>
                <w:sz w:val="22"/>
                <w:szCs w:val="22"/>
              </w:rPr>
              <w:t xml:space="preserve"> business waiting</w:t>
            </w:r>
            <w:r w:rsidR="00ED0E87">
              <w:rPr>
                <w:rFonts w:ascii="Arial" w:hAnsi="Arial" w:cs="Arial"/>
                <w:b/>
                <w:sz w:val="22"/>
                <w:szCs w:val="22"/>
              </w:rPr>
              <w:t xml:space="preserve"> </w:t>
            </w:r>
            <w:r w:rsidR="00ED0E87" w:rsidRPr="00E83E7E">
              <w:rPr>
                <w:rFonts w:ascii="Arial" w:hAnsi="Arial" w:cs="Arial"/>
                <w:b/>
                <w:sz w:val="22"/>
                <w:szCs w:val="22"/>
              </w:rPr>
              <w:t>times (non-summary)</w:t>
            </w:r>
            <w:bookmarkEnd w:id="1"/>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Waiting times for key areas of court business</w:t>
            </w:r>
            <w:r w:rsidR="008B0215">
              <w:rPr>
                <w:rFonts w:ascii="Arial" w:hAnsi="Arial" w:cs="Arial"/>
                <w:sz w:val="22"/>
                <w:szCs w:val="22"/>
              </w:rPr>
              <w:t>, other than summary criminal business (which is monitored through indicators 2b, 5a and 5b).</w:t>
            </w:r>
          </w:p>
          <w:p w:rsidR="008B0215" w:rsidRPr="00D40E65" w:rsidRDefault="008B0215"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EA1E06" w:rsidRDefault="00EA1E06" w:rsidP="00EA1E06">
            <w:pPr>
              <w:rPr>
                <w:rFonts w:ascii="Arial" w:hAnsi="Arial" w:cs="Arial"/>
                <w:sz w:val="22"/>
                <w:szCs w:val="22"/>
              </w:rPr>
            </w:pPr>
          </w:p>
          <w:p w:rsidR="00ED0E87" w:rsidRPr="00D40E65" w:rsidRDefault="00ED0E87" w:rsidP="00EA1E06">
            <w:pPr>
              <w:rPr>
                <w:rFonts w:ascii="Arial" w:hAnsi="Arial" w:cs="Arial"/>
                <w:sz w:val="22"/>
                <w:szCs w:val="22"/>
              </w:rPr>
            </w:pP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The interests of justice are not served by excessive waiting periods for parties. SC</w:t>
            </w:r>
            <w:r w:rsidR="00BB3A75">
              <w:rPr>
                <w:rFonts w:ascii="Arial" w:hAnsi="Arial" w:cs="Arial"/>
                <w:sz w:val="22"/>
                <w:szCs w:val="22"/>
              </w:rPr>
              <w:t>T</w:t>
            </w:r>
            <w:r w:rsidRPr="00D40E65">
              <w:rPr>
                <w:rFonts w:ascii="Arial" w:hAnsi="Arial" w:cs="Arial"/>
                <w:sz w:val="22"/>
                <w:szCs w:val="22"/>
              </w:rPr>
              <w:t>S is not solely responsible for delay but has a responsibility to provide access to justice in a reasonable time frame.</w:t>
            </w:r>
          </w:p>
          <w:p w:rsidR="008B0215" w:rsidRPr="00D40E65" w:rsidRDefault="008B0215"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The publication of waiting periods give an indication to the public of how long they may have to wait before getting access to the court. Deterioration in this figure will be indicative of pressure on the court system borne of increasing demand or shrinking capacity.</w:t>
            </w:r>
          </w:p>
          <w:p w:rsidR="008B0215" w:rsidRPr="00D40E65" w:rsidRDefault="008B0215"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ED0E87" w:rsidRDefault="00ED0E87" w:rsidP="008B0215">
            <w:pPr>
              <w:rPr>
                <w:rFonts w:ascii="Arial" w:hAnsi="Arial" w:cs="Arial"/>
                <w:sz w:val="22"/>
                <w:szCs w:val="22"/>
              </w:rPr>
            </w:pPr>
            <w:r w:rsidRPr="00FE7B60">
              <w:rPr>
                <w:rFonts w:ascii="Arial" w:hAnsi="Arial" w:cs="Arial"/>
                <w:sz w:val="22"/>
                <w:szCs w:val="22"/>
              </w:rPr>
              <w:t>Director Operations Delivery</w:t>
            </w:r>
            <w:r w:rsidR="00193110">
              <w:rPr>
                <w:rFonts w:ascii="Arial" w:hAnsi="Arial" w:cs="Arial"/>
                <w:sz w:val="22"/>
                <w:szCs w:val="22"/>
              </w:rPr>
              <w:t xml:space="preserve"> </w:t>
            </w:r>
            <w:r w:rsidR="00B92F9E">
              <w:rPr>
                <w:rFonts w:ascii="Arial" w:hAnsi="Arial" w:cs="Arial"/>
                <w:sz w:val="22"/>
                <w:szCs w:val="22"/>
              </w:rPr>
              <w:t xml:space="preserve">and the </w:t>
            </w:r>
            <w:r w:rsidR="00193110">
              <w:rPr>
                <w:rFonts w:ascii="Arial" w:hAnsi="Arial" w:cs="Arial"/>
                <w:sz w:val="22"/>
                <w:szCs w:val="22"/>
              </w:rPr>
              <w:t xml:space="preserve">Principal Clerk of Session &amp; </w:t>
            </w:r>
            <w:proofErr w:type="spellStart"/>
            <w:r w:rsidR="00193110">
              <w:rPr>
                <w:rFonts w:ascii="Arial" w:hAnsi="Arial" w:cs="Arial"/>
                <w:sz w:val="22"/>
                <w:szCs w:val="22"/>
              </w:rPr>
              <w:t>J</w:t>
            </w:r>
            <w:r w:rsidR="00193110" w:rsidRPr="00193110">
              <w:rPr>
                <w:rFonts w:ascii="Arial" w:hAnsi="Arial" w:cs="Arial"/>
                <w:sz w:val="22"/>
                <w:szCs w:val="22"/>
              </w:rPr>
              <w:t>usticiary</w:t>
            </w:r>
            <w:proofErr w:type="spellEnd"/>
          </w:p>
          <w:p w:rsidR="008B0215" w:rsidRPr="00D40E65" w:rsidRDefault="008B0215" w:rsidP="008B0215">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COP II, CMS and manual returns</w:t>
            </w:r>
          </w:p>
          <w:p w:rsidR="008B0215" w:rsidRPr="00D40E65" w:rsidRDefault="008B0215"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ED0E87" w:rsidRDefault="00ED0E87" w:rsidP="006D66B4">
            <w:pPr>
              <w:rPr>
                <w:rFonts w:ascii="Arial" w:hAnsi="Arial" w:cs="Arial"/>
                <w:sz w:val="22"/>
                <w:szCs w:val="22"/>
              </w:rPr>
            </w:pPr>
            <w:r w:rsidRPr="00D40E65">
              <w:rPr>
                <w:rFonts w:ascii="Arial" w:hAnsi="Arial" w:cs="Arial"/>
                <w:sz w:val="22"/>
                <w:szCs w:val="22"/>
              </w:rPr>
              <w:t xml:space="preserve">For each type of court business specified </w:t>
            </w:r>
            <w:r>
              <w:rPr>
                <w:rFonts w:ascii="Arial" w:hAnsi="Arial" w:cs="Arial"/>
                <w:sz w:val="22"/>
                <w:szCs w:val="22"/>
              </w:rPr>
              <w:t>in the sub-measures</w:t>
            </w:r>
            <w:r w:rsidRPr="00D40E65">
              <w:rPr>
                <w:rFonts w:ascii="Arial" w:hAnsi="Arial" w:cs="Arial"/>
                <w:sz w:val="22"/>
                <w:szCs w:val="22"/>
              </w:rPr>
              <w:t>, the waiting period will be calculated as set out.  Waiting periods</w:t>
            </w:r>
            <w:r>
              <w:rPr>
                <w:rFonts w:ascii="Arial" w:hAnsi="Arial" w:cs="Arial"/>
                <w:sz w:val="22"/>
                <w:szCs w:val="22"/>
              </w:rPr>
              <w:t xml:space="preserve"> for sub-measures</w:t>
            </w:r>
            <w:r w:rsidRPr="00D40E65">
              <w:rPr>
                <w:rFonts w:ascii="Arial" w:hAnsi="Arial" w:cs="Arial"/>
                <w:sz w:val="22"/>
                <w:szCs w:val="22"/>
              </w:rPr>
              <w:t xml:space="preserve"> assessed at quarter end will be compared to thresholds.  For other </w:t>
            </w:r>
            <w:r>
              <w:rPr>
                <w:rFonts w:ascii="Arial" w:hAnsi="Arial" w:cs="Arial"/>
                <w:sz w:val="22"/>
                <w:szCs w:val="22"/>
              </w:rPr>
              <w:t>sub-measures</w:t>
            </w:r>
            <w:r w:rsidRPr="00D40E65">
              <w:rPr>
                <w:rFonts w:ascii="Arial" w:hAnsi="Arial" w:cs="Arial"/>
                <w:sz w:val="22"/>
                <w:szCs w:val="22"/>
              </w:rPr>
              <w:t>, the waiting periods for trials and proofs set down during the quarter will be averaged and the average compared to the threshold.</w:t>
            </w:r>
            <w:r w:rsidR="002E1EFC">
              <w:rPr>
                <w:rFonts w:ascii="Arial" w:hAnsi="Arial" w:cs="Arial"/>
                <w:sz w:val="22"/>
                <w:szCs w:val="22"/>
              </w:rPr>
              <w:t xml:space="preserve"> </w:t>
            </w:r>
            <w:r w:rsidRPr="00D40E65">
              <w:rPr>
                <w:rFonts w:ascii="Arial" w:hAnsi="Arial" w:cs="Arial"/>
                <w:sz w:val="22"/>
                <w:szCs w:val="22"/>
              </w:rPr>
              <w:t xml:space="preserve">All </w:t>
            </w:r>
            <w:r>
              <w:rPr>
                <w:rFonts w:ascii="Arial" w:hAnsi="Arial" w:cs="Arial"/>
                <w:sz w:val="22"/>
                <w:szCs w:val="22"/>
              </w:rPr>
              <w:t>sub-measures</w:t>
            </w:r>
            <w:r w:rsidRPr="00D40E65">
              <w:rPr>
                <w:rFonts w:ascii="Arial" w:hAnsi="Arial" w:cs="Arial"/>
                <w:sz w:val="22"/>
                <w:szCs w:val="22"/>
              </w:rPr>
              <w:t xml:space="preserve"> will be </w:t>
            </w:r>
            <w:r w:rsidR="00A76ED1" w:rsidRPr="00D40E65">
              <w:rPr>
                <w:rFonts w:ascii="Arial" w:hAnsi="Arial" w:cs="Arial"/>
                <w:sz w:val="22"/>
                <w:szCs w:val="22"/>
              </w:rPr>
              <w:t>reported</w:t>
            </w:r>
            <w:r w:rsidR="00A76ED1">
              <w:rPr>
                <w:rFonts w:ascii="Arial" w:hAnsi="Arial" w:cs="Arial"/>
                <w:sz w:val="22"/>
                <w:szCs w:val="22"/>
              </w:rPr>
              <w:t xml:space="preserve"> in</w:t>
            </w:r>
            <w:r w:rsidRPr="00D40E65">
              <w:rPr>
                <w:rFonts w:ascii="Arial" w:hAnsi="Arial" w:cs="Arial"/>
                <w:sz w:val="22"/>
                <w:szCs w:val="22"/>
              </w:rPr>
              <w:t xml:space="preserve"> calendar weeks not term weeks. </w:t>
            </w:r>
          </w:p>
          <w:p w:rsidR="008B0215" w:rsidRPr="00D40E65" w:rsidRDefault="008B0215" w:rsidP="006D66B4">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 xml:space="preserve">Red  - if more than three </w:t>
            </w:r>
            <w:r>
              <w:rPr>
                <w:rFonts w:ascii="Arial" w:hAnsi="Arial" w:cs="Arial"/>
                <w:sz w:val="22"/>
                <w:szCs w:val="22"/>
              </w:rPr>
              <w:t>sub-measures</w:t>
            </w:r>
            <w:r w:rsidRPr="00D40E65">
              <w:rPr>
                <w:rFonts w:ascii="Arial" w:hAnsi="Arial" w:cs="Arial"/>
                <w:sz w:val="22"/>
                <w:szCs w:val="22"/>
              </w:rPr>
              <w:t xml:space="preserve"> are at amber or if any one </w:t>
            </w:r>
            <w:r>
              <w:rPr>
                <w:rFonts w:ascii="Arial" w:hAnsi="Arial" w:cs="Arial"/>
                <w:sz w:val="22"/>
                <w:szCs w:val="22"/>
              </w:rPr>
              <w:t>sub-measure</w:t>
            </w:r>
            <w:r w:rsidRPr="00D40E65">
              <w:rPr>
                <w:rFonts w:ascii="Arial" w:hAnsi="Arial" w:cs="Arial"/>
                <w:sz w:val="22"/>
                <w:szCs w:val="22"/>
              </w:rPr>
              <w:t xml:space="preserve"> is at Red</w:t>
            </w:r>
          </w:p>
          <w:p w:rsidR="008B0215" w:rsidRPr="00D40E65" w:rsidRDefault="008B0215"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 xml:space="preserve">Amber - if at most three </w:t>
            </w:r>
            <w:r>
              <w:rPr>
                <w:rFonts w:ascii="Arial" w:hAnsi="Arial" w:cs="Arial"/>
                <w:sz w:val="22"/>
                <w:szCs w:val="22"/>
              </w:rPr>
              <w:t>sub-measures</w:t>
            </w:r>
            <w:r w:rsidRPr="00D40E65">
              <w:rPr>
                <w:rFonts w:ascii="Arial" w:hAnsi="Arial" w:cs="Arial"/>
                <w:sz w:val="22"/>
                <w:szCs w:val="22"/>
              </w:rPr>
              <w:t xml:space="preserve"> are failing to meet their thresholds and there are no </w:t>
            </w:r>
            <w:r>
              <w:rPr>
                <w:rFonts w:ascii="Arial" w:hAnsi="Arial" w:cs="Arial"/>
                <w:sz w:val="22"/>
                <w:szCs w:val="22"/>
              </w:rPr>
              <w:t>sub-measures</w:t>
            </w:r>
            <w:r w:rsidRPr="00D40E65">
              <w:rPr>
                <w:rFonts w:ascii="Arial" w:hAnsi="Arial" w:cs="Arial"/>
                <w:sz w:val="22"/>
                <w:szCs w:val="22"/>
              </w:rPr>
              <w:t xml:space="preserve"> at Red</w:t>
            </w:r>
          </w:p>
          <w:p w:rsidR="008B0215" w:rsidRPr="00D40E65" w:rsidRDefault="008B0215" w:rsidP="00364ED2">
            <w:pPr>
              <w:rPr>
                <w:rFonts w:ascii="Arial" w:hAnsi="Arial" w:cs="Arial"/>
                <w:sz w:val="22"/>
                <w:szCs w:val="22"/>
              </w:rPr>
            </w:pPr>
          </w:p>
          <w:p w:rsidR="00ED0E87" w:rsidRDefault="00ED0E87" w:rsidP="00B92F9E">
            <w:pPr>
              <w:rPr>
                <w:rFonts w:ascii="Arial" w:hAnsi="Arial" w:cs="Arial"/>
                <w:sz w:val="22"/>
                <w:szCs w:val="22"/>
              </w:rPr>
            </w:pPr>
            <w:r w:rsidRPr="00D40E65">
              <w:rPr>
                <w:rFonts w:ascii="Arial" w:hAnsi="Arial" w:cs="Arial"/>
                <w:sz w:val="22"/>
                <w:szCs w:val="22"/>
              </w:rPr>
              <w:t xml:space="preserve">Green - if all </w:t>
            </w:r>
            <w:r>
              <w:rPr>
                <w:rFonts w:ascii="Arial" w:hAnsi="Arial" w:cs="Arial"/>
                <w:sz w:val="22"/>
                <w:szCs w:val="22"/>
              </w:rPr>
              <w:t>sub-measures</w:t>
            </w:r>
            <w:r w:rsidRPr="00D40E65">
              <w:rPr>
                <w:rFonts w:ascii="Arial" w:hAnsi="Arial" w:cs="Arial"/>
                <w:sz w:val="22"/>
                <w:szCs w:val="22"/>
              </w:rPr>
              <w:t xml:space="preserve"> are meeting their agreed thresholds.</w:t>
            </w:r>
          </w:p>
          <w:p w:rsidR="008B0215" w:rsidRPr="00D40E65" w:rsidRDefault="008B0215" w:rsidP="00B92F9E">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Monthly</w:t>
            </w:r>
          </w:p>
          <w:p w:rsidR="008B0215" w:rsidRPr="00D40E65" w:rsidRDefault="008B0215"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8B0215" w:rsidRDefault="008B0215" w:rsidP="00364ED2">
            <w:pPr>
              <w:rPr>
                <w:rFonts w:ascii="Arial" w:hAnsi="Arial" w:cs="Arial"/>
                <w:sz w:val="22"/>
                <w:szCs w:val="22"/>
              </w:rPr>
            </w:pPr>
          </w:p>
          <w:p w:rsidR="008B0215" w:rsidRPr="00D40E65" w:rsidRDefault="008B0215"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Pr>
                <w:rFonts w:ascii="Arial" w:hAnsi="Arial" w:cs="Arial"/>
                <w:sz w:val="22"/>
                <w:szCs w:val="22"/>
              </w:rPr>
              <w:t xml:space="preserve">Other </w:t>
            </w:r>
            <w:r w:rsidRPr="00D40E65">
              <w:rPr>
                <w:rFonts w:ascii="Arial" w:hAnsi="Arial" w:cs="Arial"/>
                <w:sz w:val="22"/>
                <w:szCs w:val="22"/>
              </w:rPr>
              <w:t>Comments</w:t>
            </w:r>
          </w:p>
        </w:tc>
        <w:tc>
          <w:tcPr>
            <w:tcW w:w="3073" w:type="pct"/>
          </w:tcPr>
          <w:p w:rsidR="00672521" w:rsidRDefault="00ED0E87" w:rsidP="00364ED2">
            <w:pPr>
              <w:rPr>
                <w:rFonts w:ascii="Arial" w:hAnsi="Arial" w:cs="Arial"/>
                <w:sz w:val="22"/>
                <w:szCs w:val="22"/>
              </w:rPr>
            </w:pPr>
            <w:r>
              <w:rPr>
                <w:rFonts w:ascii="Arial" w:hAnsi="Arial" w:cs="Arial"/>
                <w:sz w:val="22"/>
                <w:szCs w:val="22"/>
              </w:rPr>
              <w:t>The</w:t>
            </w:r>
            <w:r w:rsidRPr="00D40E65">
              <w:rPr>
                <w:rFonts w:ascii="Arial" w:hAnsi="Arial" w:cs="Arial"/>
                <w:sz w:val="22"/>
                <w:szCs w:val="22"/>
              </w:rPr>
              <w:t xml:space="preserve"> waiting time </w:t>
            </w:r>
            <w:r>
              <w:rPr>
                <w:rFonts w:ascii="Arial" w:hAnsi="Arial" w:cs="Arial"/>
                <w:sz w:val="22"/>
                <w:szCs w:val="22"/>
              </w:rPr>
              <w:t>sub-measures</w:t>
            </w:r>
            <w:r w:rsidRPr="00D40E65">
              <w:rPr>
                <w:rFonts w:ascii="Arial" w:hAnsi="Arial" w:cs="Arial"/>
                <w:sz w:val="22"/>
                <w:szCs w:val="22"/>
              </w:rPr>
              <w:t xml:space="preserve"> </w:t>
            </w:r>
            <w:r>
              <w:rPr>
                <w:rFonts w:ascii="Arial" w:hAnsi="Arial" w:cs="Arial"/>
                <w:sz w:val="22"/>
                <w:szCs w:val="22"/>
              </w:rPr>
              <w:t>for the Supreme Courts are aligned to the performance measures</w:t>
            </w:r>
            <w:r w:rsidRPr="00D40E65">
              <w:rPr>
                <w:rFonts w:ascii="Arial" w:hAnsi="Arial" w:cs="Arial"/>
                <w:sz w:val="22"/>
                <w:szCs w:val="22"/>
              </w:rPr>
              <w:t xml:space="preserve"> </w:t>
            </w:r>
            <w:r>
              <w:rPr>
                <w:rFonts w:ascii="Arial" w:hAnsi="Arial" w:cs="Arial"/>
                <w:sz w:val="22"/>
                <w:szCs w:val="22"/>
              </w:rPr>
              <w:t xml:space="preserve">that have been developed by the Supreme Courts </w:t>
            </w:r>
            <w:r>
              <w:rPr>
                <w:rFonts w:ascii="Arial" w:hAnsi="Arial" w:cs="Arial"/>
                <w:sz w:val="22"/>
                <w:szCs w:val="22"/>
              </w:rPr>
              <w:lastRenderedPageBreak/>
              <w:t>following the recommendations of the Supreme Courts Programming Board’s report</w:t>
            </w:r>
            <w:r w:rsidRPr="00D40E65">
              <w:rPr>
                <w:rFonts w:ascii="Arial" w:hAnsi="Arial" w:cs="Arial"/>
                <w:sz w:val="22"/>
                <w:szCs w:val="22"/>
              </w:rPr>
              <w:t xml:space="preserve"> “A Performance Framework For The Supreme Court”.</w:t>
            </w:r>
          </w:p>
          <w:p w:rsidR="00ED0E87" w:rsidRPr="00D40E65" w:rsidRDefault="00ED0E87" w:rsidP="00364ED2">
            <w:pPr>
              <w:rPr>
                <w:rFonts w:ascii="Arial" w:hAnsi="Arial" w:cs="Arial"/>
                <w:sz w:val="22"/>
                <w:szCs w:val="22"/>
              </w:rPr>
            </w:pPr>
            <w:r w:rsidRPr="00D40E65">
              <w:rPr>
                <w:rFonts w:ascii="Arial" w:hAnsi="Arial" w:cs="Arial"/>
                <w:sz w:val="22"/>
                <w:szCs w:val="22"/>
              </w:rPr>
              <w:t xml:space="preserve"> </w:t>
            </w:r>
          </w:p>
        </w:tc>
      </w:tr>
    </w:tbl>
    <w:p w:rsidR="00ED0E87" w:rsidRDefault="00ED0E87" w:rsidP="00ED0E87">
      <w:pPr>
        <w:rPr>
          <w:rFonts w:ascii="Arial" w:hAnsi="Arial" w:cs="Arial"/>
          <w:sz w:val="22"/>
          <w:szCs w:val="22"/>
        </w:rPr>
      </w:pPr>
    </w:p>
    <w:p w:rsidR="00280DA5" w:rsidRDefault="00280DA5"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96"/>
        <w:gridCol w:w="3024"/>
      </w:tblGrid>
      <w:tr w:rsidR="0038634F" w:rsidRPr="00D40E65" w:rsidTr="0038634F">
        <w:tc>
          <w:tcPr>
            <w:tcW w:w="5000" w:type="pct"/>
            <w:gridSpan w:val="3"/>
          </w:tcPr>
          <w:p w:rsidR="0038634F" w:rsidRPr="0038634F" w:rsidRDefault="0038634F" w:rsidP="00037019">
            <w:pPr>
              <w:rPr>
                <w:rFonts w:ascii="Arial" w:hAnsi="Arial" w:cs="Arial"/>
                <w:b/>
                <w:sz w:val="28"/>
                <w:szCs w:val="28"/>
              </w:rPr>
            </w:pPr>
            <w:r>
              <w:rPr>
                <w:rFonts w:ascii="Arial" w:hAnsi="Arial" w:cs="Arial"/>
                <w:b/>
                <w:sz w:val="28"/>
                <w:szCs w:val="28"/>
              </w:rPr>
              <w:t xml:space="preserve">         </w:t>
            </w:r>
            <w:r w:rsidR="00B92F9E">
              <w:rPr>
                <w:rFonts w:ascii="Arial" w:hAnsi="Arial" w:cs="Arial"/>
                <w:b/>
                <w:sz w:val="28"/>
                <w:szCs w:val="28"/>
              </w:rPr>
              <w:t>The</w:t>
            </w:r>
            <w:r w:rsidR="00037019">
              <w:rPr>
                <w:rFonts w:ascii="Arial" w:hAnsi="Arial" w:cs="Arial"/>
                <w:b/>
                <w:sz w:val="28"/>
                <w:szCs w:val="28"/>
              </w:rPr>
              <w:t xml:space="preserve">re are twelve </w:t>
            </w:r>
            <w:r w:rsidR="00B92F9E">
              <w:rPr>
                <w:rFonts w:ascii="Arial" w:hAnsi="Arial" w:cs="Arial"/>
                <w:b/>
                <w:sz w:val="28"/>
                <w:szCs w:val="28"/>
              </w:rPr>
              <w:t>s</w:t>
            </w:r>
            <w:r w:rsidRPr="0038634F">
              <w:rPr>
                <w:rFonts w:ascii="Arial" w:hAnsi="Arial" w:cs="Arial"/>
                <w:b/>
                <w:sz w:val="28"/>
                <w:szCs w:val="28"/>
              </w:rPr>
              <w:t xml:space="preserve">ub measures </w:t>
            </w:r>
            <w:r w:rsidR="00037019">
              <w:rPr>
                <w:rFonts w:ascii="Arial" w:hAnsi="Arial" w:cs="Arial"/>
                <w:b/>
                <w:sz w:val="28"/>
                <w:szCs w:val="28"/>
              </w:rPr>
              <w:t xml:space="preserve">within </w:t>
            </w:r>
            <w:r w:rsidR="00BA1F3F">
              <w:rPr>
                <w:rFonts w:ascii="Arial" w:hAnsi="Arial" w:cs="Arial"/>
                <w:b/>
                <w:sz w:val="28"/>
                <w:szCs w:val="28"/>
              </w:rPr>
              <w:t>Measure 5(d</w:t>
            </w:r>
            <w:r w:rsidRPr="0038634F">
              <w:rPr>
                <w:rFonts w:ascii="Arial" w:hAnsi="Arial" w:cs="Arial"/>
                <w:b/>
                <w:sz w:val="28"/>
                <w:szCs w:val="28"/>
              </w:rPr>
              <w:t>)</w:t>
            </w:r>
          </w:p>
        </w:tc>
      </w:tr>
      <w:tr w:rsidR="00ED0E87" w:rsidRPr="00D40E65" w:rsidTr="00B92F9E">
        <w:tc>
          <w:tcPr>
            <w:tcW w:w="1644" w:type="pct"/>
          </w:tcPr>
          <w:p w:rsidR="00ED0E87" w:rsidRPr="00D40E65" w:rsidRDefault="00ED0E87" w:rsidP="00364ED2">
            <w:pPr>
              <w:rPr>
                <w:rFonts w:ascii="Arial" w:hAnsi="Arial" w:cs="Arial"/>
                <w:b/>
                <w:sz w:val="22"/>
                <w:szCs w:val="22"/>
              </w:rPr>
            </w:pPr>
            <w:r w:rsidRPr="00D40E65">
              <w:rPr>
                <w:rFonts w:ascii="Arial" w:hAnsi="Arial" w:cs="Arial"/>
                <w:b/>
                <w:sz w:val="22"/>
                <w:szCs w:val="22"/>
              </w:rPr>
              <w:t xml:space="preserve">Waiting Time Indicators </w:t>
            </w:r>
          </w:p>
        </w:tc>
        <w:tc>
          <w:tcPr>
            <w:tcW w:w="1582" w:type="pct"/>
            <w:shd w:val="clear" w:color="auto" w:fill="auto"/>
          </w:tcPr>
          <w:p w:rsidR="00ED0E87" w:rsidRPr="00D40E65" w:rsidRDefault="00ED0E87" w:rsidP="00364ED2">
            <w:pPr>
              <w:rPr>
                <w:rFonts w:ascii="Arial" w:hAnsi="Arial" w:cs="Arial"/>
                <w:b/>
                <w:sz w:val="22"/>
                <w:szCs w:val="22"/>
              </w:rPr>
            </w:pPr>
            <w:r w:rsidRPr="00D40E65">
              <w:rPr>
                <w:rFonts w:ascii="Arial" w:hAnsi="Arial" w:cs="Arial"/>
                <w:b/>
                <w:sz w:val="22"/>
                <w:szCs w:val="22"/>
              </w:rPr>
              <w:t>RAG Criteria</w:t>
            </w:r>
          </w:p>
        </w:tc>
        <w:tc>
          <w:tcPr>
            <w:tcW w:w="1774" w:type="pct"/>
            <w:shd w:val="clear" w:color="auto" w:fill="auto"/>
          </w:tcPr>
          <w:p w:rsidR="00ED0E87" w:rsidRPr="00D40E65" w:rsidRDefault="00ED0E87" w:rsidP="00364ED2">
            <w:pPr>
              <w:rPr>
                <w:rFonts w:ascii="Arial" w:hAnsi="Arial" w:cs="Arial"/>
                <w:b/>
                <w:sz w:val="22"/>
                <w:szCs w:val="22"/>
              </w:rPr>
            </w:pPr>
            <w:r w:rsidRPr="00D40E65">
              <w:rPr>
                <w:rFonts w:ascii="Arial" w:hAnsi="Arial" w:cs="Arial"/>
                <w:b/>
                <w:sz w:val="22"/>
                <w:szCs w:val="22"/>
              </w:rPr>
              <w:t>Comment</w:t>
            </w:r>
          </w:p>
        </w:tc>
      </w:tr>
      <w:tr w:rsidR="0038634F" w:rsidRPr="00D40E65" w:rsidTr="00B92F9E">
        <w:tc>
          <w:tcPr>
            <w:tcW w:w="1644" w:type="pct"/>
          </w:tcPr>
          <w:p w:rsidR="0038634F" w:rsidRPr="003464D9" w:rsidRDefault="0038634F" w:rsidP="00364ED2">
            <w:pPr>
              <w:rPr>
                <w:rFonts w:ascii="Arial" w:hAnsi="Arial" w:cs="Arial"/>
                <w:b/>
                <w:sz w:val="22"/>
                <w:szCs w:val="22"/>
              </w:rPr>
            </w:pPr>
            <w:r w:rsidRPr="003464D9">
              <w:rPr>
                <w:rFonts w:ascii="Arial" w:hAnsi="Arial" w:cs="Arial"/>
                <w:b/>
                <w:sz w:val="22"/>
                <w:szCs w:val="22"/>
              </w:rPr>
              <w:t>Inner House.</w:t>
            </w:r>
          </w:p>
          <w:p w:rsidR="0038634F" w:rsidRPr="00D40E65" w:rsidRDefault="0038634F" w:rsidP="00364ED2">
            <w:pPr>
              <w:rPr>
                <w:rFonts w:ascii="Arial" w:hAnsi="Arial" w:cs="Arial"/>
                <w:sz w:val="22"/>
                <w:szCs w:val="22"/>
              </w:rPr>
            </w:pPr>
            <w:r w:rsidRPr="00D40E65">
              <w:rPr>
                <w:rFonts w:ascii="Arial" w:hAnsi="Arial" w:cs="Arial"/>
                <w:sz w:val="22"/>
                <w:szCs w:val="22"/>
              </w:rPr>
              <w:t>The current waiting period for the earliest available non-urgent 2 day hearing, as at the end of each quarter</w:t>
            </w:r>
          </w:p>
          <w:p w:rsidR="0038634F" w:rsidRPr="00D40E65" w:rsidRDefault="0038634F" w:rsidP="00364ED2">
            <w:pPr>
              <w:rPr>
                <w:rFonts w:ascii="Arial" w:hAnsi="Arial" w:cs="Arial"/>
                <w:sz w:val="22"/>
                <w:szCs w:val="22"/>
              </w:rPr>
            </w:pPr>
          </w:p>
        </w:tc>
        <w:tc>
          <w:tcPr>
            <w:tcW w:w="1582" w:type="pct"/>
            <w:shd w:val="clear" w:color="auto" w:fill="auto"/>
          </w:tcPr>
          <w:p w:rsidR="0038634F" w:rsidRPr="00D40E65" w:rsidRDefault="0038634F" w:rsidP="00364ED2">
            <w:pPr>
              <w:rPr>
                <w:rFonts w:ascii="Arial" w:hAnsi="Arial" w:cs="Arial"/>
                <w:sz w:val="22"/>
                <w:szCs w:val="22"/>
              </w:rPr>
            </w:pPr>
            <w:r w:rsidRPr="00D40E65">
              <w:rPr>
                <w:rFonts w:ascii="Arial" w:hAnsi="Arial" w:cs="Arial"/>
                <w:sz w:val="22"/>
                <w:szCs w:val="22"/>
              </w:rPr>
              <w:t>Red – more than 4 weeks above baseline</w:t>
            </w:r>
          </w:p>
          <w:p w:rsidR="0038634F" w:rsidRPr="00D40E65" w:rsidRDefault="0038634F" w:rsidP="00364ED2">
            <w:pPr>
              <w:rPr>
                <w:rFonts w:ascii="Arial" w:hAnsi="Arial" w:cs="Arial"/>
                <w:sz w:val="22"/>
                <w:szCs w:val="22"/>
              </w:rPr>
            </w:pPr>
            <w:r w:rsidRPr="00D40E65">
              <w:rPr>
                <w:rFonts w:ascii="Arial" w:hAnsi="Arial" w:cs="Arial"/>
                <w:sz w:val="22"/>
                <w:szCs w:val="22"/>
              </w:rPr>
              <w:t>Amber – 2 – 4 weeks above baseline</w:t>
            </w:r>
          </w:p>
          <w:p w:rsidR="0038634F" w:rsidRPr="00D40E65" w:rsidRDefault="0038634F" w:rsidP="00364ED2">
            <w:pPr>
              <w:rPr>
                <w:rFonts w:ascii="Arial" w:hAnsi="Arial" w:cs="Arial"/>
                <w:sz w:val="22"/>
                <w:szCs w:val="22"/>
              </w:rPr>
            </w:pPr>
            <w:r w:rsidRPr="00D40E65">
              <w:rPr>
                <w:rFonts w:ascii="Arial" w:hAnsi="Arial" w:cs="Arial"/>
                <w:sz w:val="22"/>
                <w:szCs w:val="22"/>
              </w:rPr>
              <w:t>Green – less than 2 weeks above baseline or below baseline</w:t>
            </w:r>
          </w:p>
        </w:tc>
        <w:tc>
          <w:tcPr>
            <w:tcW w:w="1774" w:type="pct"/>
            <w:shd w:val="clear" w:color="auto" w:fill="auto"/>
          </w:tcPr>
          <w:p w:rsidR="0038634F" w:rsidRDefault="0038634F" w:rsidP="00364ED2">
            <w:pPr>
              <w:rPr>
                <w:rFonts w:ascii="Arial" w:hAnsi="Arial" w:cs="Arial"/>
                <w:sz w:val="22"/>
                <w:szCs w:val="22"/>
              </w:rPr>
            </w:pPr>
            <w:r w:rsidRPr="00DC74D8">
              <w:rPr>
                <w:rFonts w:ascii="Arial" w:hAnsi="Arial" w:cs="Arial"/>
                <w:sz w:val="22"/>
                <w:szCs w:val="22"/>
              </w:rPr>
              <w:t>Baseline is 20</w:t>
            </w:r>
            <w:r>
              <w:rPr>
                <w:rFonts w:ascii="Arial" w:hAnsi="Arial" w:cs="Arial"/>
                <w:sz w:val="22"/>
                <w:szCs w:val="22"/>
              </w:rPr>
              <w:t>10-11</w:t>
            </w:r>
            <w:r w:rsidRPr="00DC74D8">
              <w:rPr>
                <w:rFonts w:ascii="Arial" w:hAnsi="Arial" w:cs="Arial"/>
                <w:sz w:val="22"/>
                <w:szCs w:val="22"/>
              </w:rPr>
              <w:t xml:space="preserve">average performance of </w:t>
            </w:r>
            <w:r>
              <w:rPr>
                <w:rFonts w:ascii="Arial" w:hAnsi="Arial" w:cs="Arial"/>
                <w:sz w:val="22"/>
                <w:szCs w:val="22"/>
              </w:rPr>
              <w:t>27</w:t>
            </w:r>
            <w:r w:rsidRPr="00DC74D8">
              <w:rPr>
                <w:rFonts w:ascii="Arial" w:hAnsi="Arial" w:cs="Arial"/>
                <w:sz w:val="22"/>
                <w:szCs w:val="22"/>
              </w:rPr>
              <w:t xml:space="preserve"> weeks</w:t>
            </w:r>
            <w:r>
              <w:rPr>
                <w:rFonts w:ascii="Arial" w:hAnsi="Arial" w:cs="Arial"/>
                <w:sz w:val="22"/>
                <w:szCs w:val="22"/>
              </w:rPr>
              <w:t>. In 2010-</w:t>
            </w:r>
            <w:r w:rsidRPr="00DC74D8">
              <w:rPr>
                <w:rFonts w:ascii="Arial" w:hAnsi="Arial" w:cs="Arial"/>
                <w:sz w:val="22"/>
                <w:szCs w:val="22"/>
              </w:rPr>
              <w:t>11 the Court of Session moved to two day hearings as the basis of its calc</w:t>
            </w:r>
            <w:r>
              <w:rPr>
                <w:rFonts w:ascii="Arial" w:hAnsi="Arial" w:cs="Arial"/>
                <w:sz w:val="22"/>
                <w:szCs w:val="22"/>
              </w:rPr>
              <w:t>ulations and re-calibrated 2010-</w:t>
            </w:r>
            <w:r w:rsidRPr="00DC74D8">
              <w:rPr>
                <w:rFonts w:ascii="Arial" w:hAnsi="Arial" w:cs="Arial"/>
                <w:sz w:val="22"/>
                <w:szCs w:val="22"/>
              </w:rPr>
              <w:t>11 data based on calendar weeks rather than term weeks.</w:t>
            </w:r>
          </w:p>
          <w:p w:rsidR="00672521" w:rsidRPr="00DC74D8" w:rsidRDefault="00672521" w:rsidP="00364ED2">
            <w:pPr>
              <w:rPr>
                <w:rFonts w:ascii="Arial" w:hAnsi="Arial" w:cs="Arial"/>
                <w:sz w:val="22"/>
                <w:szCs w:val="22"/>
              </w:rPr>
            </w:pPr>
          </w:p>
        </w:tc>
      </w:tr>
      <w:tr w:rsidR="0038634F" w:rsidRPr="00D40E65" w:rsidTr="00B92F9E">
        <w:tc>
          <w:tcPr>
            <w:tcW w:w="1644" w:type="pct"/>
          </w:tcPr>
          <w:p w:rsidR="0038634F" w:rsidRPr="003464D9" w:rsidRDefault="0038634F" w:rsidP="00364ED2">
            <w:pPr>
              <w:rPr>
                <w:rFonts w:ascii="Arial" w:hAnsi="Arial" w:cs="Arial"/>
                <w:b/>
                <w:sz w:val="22"/>
                <w:szCs w:val="22"/>
              </w:rPr>
            </w:pPr>
            <w:r w:rsidRPr="003464D9">
              <w:rPr>
                <w:rFonts w:ascii="Arial" w:hAnsi="Arial" w:cs="Arial"/>
                <w:b/>
                <w:sz w:val="22"/>
                <w:szCs w:val="22"/>
              </w:rPr>
              <w:t>Criminal Appeals.</w:t>
            </w:r>
          </w:p>
          <w:p w:rsidR="0038634F" w:rsidRDefault="0038634F" w:rsidP="00364ED2">
            <w:pPr>
              <w:rPr>
                <w:rFonts w:ascii="Arial" w:hAnsi="Arial" w:cs="Arial"/>
                <w:sz w:val="22"/>
                <w:szCs w:val="22"/>
              </w:rPr>
            </w:pPr>
            <w:r w:rsidRPr="00D40E65">
              <w:rPr>
                <w:rFonts w:ascii="Arial" w:hAnsi="Arial" w:cs="Arial"/>
                <w:sz w:val="22"/>
                <w:szCs w:val="22"/>
              </w:rPr>
              <w:t xml:space="preserve">The current waiting period </w:t>
            </w:r>
            <w:r>
              <w:rPr>
                <w:rFonts w:ascii="Arial" w:hAnsi="Arial" w:cs="Arial"/>
                <w:sz w:val="22"/>
                <w:szCs w:val="22"/>
              </w:rPr>
              <w:t>from the date leave to appeal is granted to the final disposal for all cases finally disposed of during each quarter</w:t>
            </w:r>
            <w:r w:rsidR="006D66B4">
              <w:rPr>
                <w:rFonts w:ascii="Arial" w:hAnsi="Arial" w:cs="Arial"/>
                <w:sz w:val="22"/>
                <w:szCs w:val="22"/>
              </w:rPr>
              <w:t>:</w:t>
            </w:r>
          </w:p>
          <w:p w:rsidR="006D66B4" w:rsidRDefault="006D66B4" w:rsidP="00364ED2">
            <w:pPr>
              <w:rPr>
                <w:rFonts w:ascii="Arial" w:hAnsi="Arial" w:cs="Arial"/>
                <w:sz w:val="22"/>
                <w:szCs w:val="22"/>
              </w:rPr>
            </w:pPr>
          </w:p>
          <w:p w:rsidR="006D66B4" w:rsidRDefault="006D66B4" w:rsidP="00364ED2">
            <w:pPr>
              <w:rPr>
                <w:rFonts w:ascii="Arial" w:hAnsi="Arial" w:cs="Arial"/>
                <w:sz w:val="22"/>
                <w:szCs w:val="22"/>
              </w:rPr>
            </w:pPr>
            <w:r>
              <w:rPr>
                <w:rFonts w:ascii="Arial" w:hAnsi="Arial" w:cs="Arial"/>
                <w:sz w:val="22"/>
                <w:szCs w:val="22"/>
              </w:rPr>
              <w:t>There are four types of Criminal  appeals sub measures:</w:t>
            </w:r>
          </w:p>
          <w:p w:rsidR="006D66B4" w:rsidRDefault="006D66B4" w:rsidP="00364ED2">
            <w:pPr>
              <w:rPr>
                <w:rFonts w:ascii="Arial" w:hAnsi="Arial" w:cs="Arial"/>
                <w:sz w:val="22"/>
                <w:szCs w:val="22"/>
              </w:rPr>
            </w:pPr>
          </w:p>
          <w:p w:rsidR="006D66B4" w:rsidRDefault="006D66B4" w:rsidP="00364ED2">
            <w:pPr>
              <w:rPr>
                <w:rFonts w:ascii="Arial" w:hAnsi="Arial" w:cs="Arial"/>
                <w:b/>
                <w:sz w:val="22"/>
                <w:szCs w:val="22"/>
              </w:rPr>
            </w:pPr>
            <w:r w:rsidRPr="003464D9">
              <w:rPr>
                <w:rFonts w:ascii="Arial" w:hAnsi="Arial" w:cs="Arial"/>
                <w:b/>
                <w:sz w:val="22"/>
                <w:szCs w:val="22"/>
              </w:rPr>
              <w:t>Solemn sentence</w:t>
            </w:r>
            <w:r>
              <w:rPr>
                <w:rFonts w:ascii="Arial" w:hAnsi="Arial" w:cs="Arial"/>
                <w:b/>
                <w:sz w:val="22"/>
                <w:szCs w:val="22"/>
              </w:rPr>
              <w:t xml:space="preserve"> – 17 weeks baseline</w:t>
            </w:r>
          </w:p>
          <w:p w:rsidR="006D66B4" w:rsidRDefault="006D66B4" w:rsidP="00364ED2">
            <w:pPr>
              <w:rPr>
                <w:rFonts w:ascii="Arial" w:hAnsi="Arial" w:cs="Arial"/>
                <w:b/>
                <w:sz w:val="22"/>
                <w:szCs w:val="22"/>
              </w:rPr>
            </w:pPr>
          </w:p>
          <w:p w:rsidR="006D66B4" w:rsidRDefault="006D66B4" w:rsidP="00364ED2">
            <w:pPr>
              <w:rPr>
                <w:rFonts w:ascii="Arial" w:hAnsi="Arial" w:cs="Arial"/>
                <w:b/>
                <w:sz w:val="22"/>
                <w:szCs w:val="22"/>
              </w:rPr>
            </w:pPr>
            <w:r w:rsidRPr="003464D9">
              <w:rPr>
                <w:rFonts w:ascii="Arial" w:hAnsi="Arial" w:cs="Arial"/>
                <w:b/>
                <w:sz w:val="22"/>
                <w:szCs w:val="22"/>
              </w:rPr>
              <w:t>Solemn conviction and sentence</w:t>
            </w:r>
            <w:r>
              <w:rPr>
                <w:rFonts w:ascii="Arial" w:hAnsi="Arial" w:cs="Arial"/>
                <w:b/>
                <w:sz w:val="22"/>
                <w:szCs w:val="22"/>
              </w:rPr>
              <w:t xml:space="preserve"> – 47 weeks baseline</w:t>
            </w:r>
          </w:p>
          <w:p w:rsidR="006D66B4" w:rsidRDefault="006D66B4" w:rsidP="00364ED2">
            <w:pPr>
              <w:rPr>
                <w:rFonts w:ascii="Arial" w:hAnsi="Arial" w:cs="Arial"/>
                <w:b/>
                <w:sz w:val="22"/>
                <w:szCs w:val="22"/>
              </w:rPr>
            </w:pPr>
          </w:p>
          <w:p w:rsidR="006D66B4" w:rsidRDefault="006D66B4" w:rsidP="006D66B4">
            <w:pPr>
              <w:rPr>
                <w:rFonts w:ascii="Arial" w:hAnsi="Arial" w:cs="Arial"/>
                <w:b/>
                <w:sz w:val="22"/>
                <w:szCs w:val="22"/>
              </w:rPr>
            </w:pPr>
            <w:r>
              <w:rPr>
                <w:rFonts w:ascii="Arial" w:hAnsi="Arial" w:cs="Arial"/>
                <w:b/>
                <w:sz w:val="22"/>
                <w:szCs w:val="22"/>
              </w:rPr>
              <w:t>Summary sentence – 11 weeks baseline</w:t>
            </w:r>
          </w:p>
          <w:p w:rsidR="006D66B4" w:rsidRDefault="006D66B4" w:rsidP="006D66B4">
            <w:pPr>
              <w:rPr>
                <w:rFonts w:ascii="Arial" w:hAnsi="Arial" w:cs="Arial"/>
                <w:b/>
                <w:sz w:val="22"/>
                <w:szCs w:val="22"/>
              </w:rPr>
            </w:pPr>
          </w:p>
          <w:p w:rsidR="006D66B4" w:rsidRPr="003464D9" w:rsidRDefault="006D66B4" w:rsidP="006D66B4">
            <w:pPr>
              <w:rPr>
                <w:rFonts w:ascii="Arial" w:hAnsi="Arial" w:cs="Arial"/>
                <w:b/>
                <w:sz w:val="22"/>
                <w:szCs w:val="22"/>
              </w:rPr>
            </w:pPr>
            <w:r w:rsidRPr="003464D9">
              <w:rPr>
                <w:rFonts w:ascii="Arial" w:hAnsi="Arial" w:cs="Arial"/>
                <w:b/>
                <w:sz w:val="22"/>
                <w:szCs w:val="22"/>
              </w:rPr>
              <w:t>Summary stated case</w:t>
            </w:r>
            <w:r>
              <w:rPr>
                <w:rFonts w:ascii="Arial" w:hAnsi="Arial" w:cs="Arial"/>
                <w:b/>
                <w:sz w:val="22"/>
                <w:szCs w:val="22"/>
              </w:rPr>
              <w:t xml:space="preserve"> – 18 weeks baseline</w:t>
            </w:r>
          </w:p>
          <w:p w:rsidR="006D66B4" w:rsidRPr="00D40E65" w:rsidRDefault="006D66B4" w:rsidP="00364ED2">
            <w:pPr>
              <w:rPr>
                <w:rFonts w:ascii="Arial" w:hAnsi="Arial" w:cs="Arial"/>
                <w:sz w:val="22"/>
                <w:szCs w:val="22"/>
              </w:rPr>
            </w:pPr>
          </w:p>
          <w:p w:rsidR="0038634F" w:rsidRPr="00D40E65" w:rsidRDefault="0038634F" w:rsidP="00364ED2">
            <w:pPr>
              <w:rPr>
                <w:rFonts w:ascii="Arial" w:hAnsi="Arial" w:cs="Arial"/>
                <w:sz w:val="22"/>
                <w:szCs w:val="22"/>
              </w:rPr>
            </w:pPr>
          </w:p>
        </w:tc>
        <w:tc>
          <w:tcPr>
            <w:tcW w:w="1582" w:type="pct"/>
            <w:shd w:val="clear" w:color="auto" w:fill="auto"/>
          </w:tcPr>
          <w:p w:rsidR="0038634F" w:rsidRPr="00D40E65" w:rsidRDefault="0038634F" w:rsidP="00364ED2">
            <w:pPr>
              <w:rPr>
                <w:rFonts w:ascii="Arial" w:hAnsi="Arial" w:cs="Arial"/>
                <w:sz w:val="22"/>
                <w:szCs w:val="22"/>
              </w:rPr>
            </w:pPr>
            <w:r w:rsidRPr="00D40E65">
              <w:rPr>
                <w:rFonts w:ascii="Arial" w:hAnsi="Arial" w:cs="Arial"/>
                <w:sz w:val="22"/>
                <w:szCs w:val="22"/>
              </w:rPr>
              <w:t>Red – more than 4 weeks above baseline</w:t>
            </w:r>
          </w:p>
          <w:p w:rsidR="0038634F" w:rsidRPr="00D40E65" w:rsidRDefault="0038634F" w:rsidP="00364ED2">
            <w:pPr>
              <w:rPr>
                <w:rFonts w:ascii="Arial" w:hAnsi="Arial" w:cs="Arial"/>
                <w:sz w:val="22"/>
                <w:szCs w:val="22"/>
              </w:rPr>
            </w:pPr>
            <w:r w:rsidRPr="00D40E65">
              <w:rPr>
                <w:rFonts w:ascii="Arial" w:hAnsi="Arial" w:cs="Arial"/>
                <w:sz w:val="22"/>
                <w:szCs w:val="22"/>
              </w:rPr>
              <w:t>Amber – 2 – 4 weeks above baseline</w:t>
            </w:r>
          </w:p>
          <w:p w:rsidR="0038634F" w:rsidRPr="00D40E65" w:rsidRDefault="0038634F" w:rsidP="00364ED2">
            <w:pPr>
              <w:rPr>
                <w:rFonts w:ascii="Arial" w:hAnsi="Arial" w:cs="Arial"/>
                <w:sz w:val="22"/>
                <w:szCs w:val="22"/>
              </w:rPr>
            </w:pPr>
            <w:r w:rsidRPr="00D40E65">
              <w:rPr>
                <w:rFonts w:ascii="Arial" w:hAnsi="Arial" w:cs="Arial"/>
                <w:sz w:val="22"/>
                <w:szCs w:val="22"/>
              </w:rPr>
              <w:t>Green – less than 2 weeks above baseline or below baseline</w:t>
            </w:r>
          </w:p>
        </w:tc>
        <w:tc>
          <w:tcPr>
            <w:tcW w:w="1774" w:type="pct"/>
            <w:shd w:val="clear" w:color="auto" w:fill="auto"/>
          </w:tcPr>
          <w:p w:rsidR="0038634F" w:rsidRPr="00DC74D8" w:rsidRDefault="0038634F" w:rsidP="00364ED2">
            <w:pPr>
              <w:rPr>
                <w:rFonts w:ascii="Arial" w:hAnsi="Arial" w:cs="Arial"/>
                <w:sz w:val="22"/>
                <w:szCs w:val="22"/>
              </w:rPr>
            </w:pPr>
            <w:r w:rsidRPr="00DC74D8">
              <w:rPr>
                <w:rFonts w:ascii="Arial" w:hAnsi="Arial" w:cs="Arial"/>
                <w:sz w:val="22"/>
                <w:szCs w:val="22"/>
              </w:rPr>
              <w:t xml:space="preserve">Baseline is set as the average performance for 2011-12. </w:t>
            </w:r>
          </w:p>
          <w:p w:rsidR="0038634F" w:rsidRPr="00DC74D8" w:rsidRDefault="0038634F" w:rsidP="00364ED2">
            <w:pPr>
              <w:rPr>
                <w:rFonts w:ascii="Arial" w:hAnsi="Arial" w:cs="Arial"/>
                <w:sz w:val="22"/>
                <w:szCs w:val="22"/>
              </w:rPr>
            </w:pPr>
            <w:r w:rsidRPr="00DC74D8">
              <w:rPr>
                <w:rFonts w:ascii="Arial" w:hAnsi="Arial" w:cs="Arial"/>
                <w:sz w:val="22"/>
                <w:szCs w:val="22"/>
              </w:rPr>
              <w:t>The measure is designed to show the capacity in the Supreme Court for managing appeals business. Cases that are delayed excessively will be investigated by the Supreme Courts and where these are found to be delayed because of the actions of parties or because they are awaiting the outcome of other appeals these will highlighted on the scorecard. Supreme Courts will provide explanations in such instances</w:t>
            </w:r>
          </w:p>
        </w:tc>
      </w:tr>
      <w:tr w:rsidR="00B92F9E" w:rsidRPr="00D40E65" w:rsidTr="00B92F9E">
        <w:tc>
          <w:tcPr>
            <w:tcW w:w="1644" w:type="pct"/>
          </w:tcPr>
          <w:p w:rsidR="00B92F9E" w:rsidRPr="00D40E65" w:rsidRDefault="00B92F9E" w:rsidP="00364ED2">
            <w:pPr>
              <w:rPr>
                <w:rFonts w:ascii="Arial" w:hAnsi="Arial" w:cs="Arial"/>
                <w:sz w:val="22"/>
                <w:szCs w:val="22"/>
              </w:rPr>
            </w:pPr>
            <w:r w:rsidRPr="00D32641">
              <w:rPr>
                <w:rFonts w:ascii="Arial" w:hAnsi="Arial" w:cs="Arial"/>
                <w:b/>
                <w:sz w:val="22"/>
                <w:szCs w:val="22"/>
              </w:rPr>
              <w:t xml:space="preserve">Outer House - Personal Injury </w:t>
            </w:r>
            <w:r w:rsidRPr="00D40E65">
              <w:rPr>
                <w:rFonts w:ascii="Arial" w:hAnsi="Arial" w:cs="Arial"/>
                <w:sz w:val="22"/>
                <w:szCs w:val="22"/>
              </w:rPr>
              <w:t>(</w:t>
            </w:r>
            <w:proofErr w:type="spellStart"/>
            <w:r w:rsidRPr="00D40E65">
              <w:rPr>
                <w:rFonts w:ascii="Arial" w:hAnsi="Arial" w:cs="Arial"/>
                <w:sz w:val="22"/>
                <w:szCs w:val="22"/>
              </w:rPr>
              <w:t>Ch</w:t>
            </w:r>
            <w:proofErr w:type="spellEnd"/>
            <w:r w:rsidRPr="00D40E65">
              <w:rPr>
                <w:rFonts w:ascii="Arial" w:hAnsi="Arial" w:cs="Arial"/>
                <w:sz w:val="22"/>
                <w:szCs w:val="22"/>
              </w:rPr>
              <w:t xml:space="preserve"> 43)</w:t>
            </w:r>
            <w:r>
              <w:rPr>
                <w:rFonts w:ascii="Arial" w:hAnsi="Arial" w:cs="Arial"/>
                <w:sz w:val="22"/>
                <w:szCs w:val="22"/>
              </w:rPr>
              <w:t>.</w:t>
            </w:r>
          </w:p>
          <w:p w:rsidR="00B92F9E" w:rsidRPr="00D40E65" w:rsidRDefault="00B92F9E" w:rsidP="00672521">
            <w:pPr>
              <w:rPr>
                <w:rFonts w:ascii="Arial" w:hAnsi="Arial" w:cs="Arial"/>
                <w:sz w:val="22"/>
                <w:szCs w:val="22"/>
              </w:rPr>
            </w:pPr>
            <w:r w:rsidRPr="00D40E65">
              <w:rPr>
                <w:rFonts w:ascii="Arial" w:hAnsi="Arial" w:cs="Arial"/>
                <w:sz w:val="22"/>
                <w:szCs w:val="22"/>
              </w:rPr>
              <w:t>The current waiting period between the lodging of defences and the first day of the proof diet, as at the end of each quarter</w:t>
            </w:r>
            <w:r>
              <w:rPr>
                <w:rFonts w:ascii="Arial" w:hAnsi="Arial" w:cs="Arial"/>
                <w:sz w:val="22"/>
                <w:szCs w:val="22"/>
              </w:rPr>
              <w:t>.</w:t>
            </w:r>
          </w:p>
        </w:tc>
        <w:tc>
          <w:tcPr>
            <w:tcW w:w="1582"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Red – 2 months above baseline</w:t>
            </w:r>
          </w:p>
          <w:p w:rsidR="00B92F9E" w:rsidRPr="00D40E65" w:rsidRDefault="00B92F9E" w:rsidP="00364ED2">
            <w:pPr>
              <w:rPr>
                <w:rFonts w:ascii="Arial" w:hAnsi="Arial" w:cs="Arial"/>
                <w:sz w:val="22"/>
                <w:szCs w:val="22"/>
              </w:rPr>
            </w:pPr>
            <w:r w:rsidRPr="00D40E65">
              <w:rPr>
                <w:rFonts w:ascii="Arial" w:hAnsi="Arial" w:cs="Arial"/>
                <w:sz w:val="22"/>
                <w:szCs w:val="22"/>
              </w:rPr>
              <w:t>Amber – 1-2 months above baseline</w:t>
            </w:r>
          </w:p>
          <w:p w:rsidR="00B92F9E" w:rsidRDefault="00B92F9E" w:rsidP="00364ED2">
            <w:pPr>
              <w:rPr>
                <w:rFonts w:ascii="Arial" w:hAnsi="Arial" w:cs="Arial"/>
                <w:sz w:val="22"/>
                <w:szCs w:val="22"/>
              </w:rPr>
            </w:pPr>
            <w:r w:rsidRPr="00D40E65">
              <w:rPr>
                <w:rFonts w:ascii="Arial" w:hAnsi="Arial" w:cs="Arial"/>
                <w:sz w:val="22"/>
                <w:szCs w:val="22"/>
              </w:rPr>
              <w:t>Green – less than 1 month above baseline or below it</w:t>
            </w:r>
          </w:p>
          <w:p w:rsidR="004145F1" w:rsidRDefault="004145F1" w:rsidP="00364ED2">
            <w:pPr>
              <w:rPr>
                <w:rFonts w:ascii="Arial" w:hAnsi="Arial" w:cs="Arial"/>
                <w:sz w:val="22"/>
                <w:szCs w:val="22"/>
              </w:rPr>
            </w:pPr>
          </w:p>
          <w:p w:rsidR="002A46BF" w:rsidRDefault="002A46BF" w:rsidP="00364ED2">
            <w:pPr>
              <w:rPr>
                <w:rFonts w:ascii="Arial" w:hAnsi="Arial" w:cs="Arial"/>
                <w:sz w:val="22"/>
                <w:szCs w:val="22"/>
              </w:rPr>
            </w:pPr>
          </w:p>
          <w:p w:rsidR="004145F1" w:rsidRPr="00D40E65" w:rsidRDefault="004145F1" w:rsidP="00364ED2">
            <w:pPr>
              <w:rPr>
                <w:rFonts w:ascii="Arial" w:hAnsi="Arial" w:cs="Arial"/>
                <w:sz w:val="22"/>
                <w:szCs w:val="22"/>
              </w:rPr>
            </w:pPr>
          </w:p>
        </w:tc>
        <w:tc>
          <w:tcPr>
            <w:tcW w:w="1774"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 xml:space="preserve">Baseline to be set at 13 months based on Lord </w:t>
            </w:r>
            <w:proofErr w:type="spellStart"/>
            <w:r w:rsidRPr="00D40E65">
              <w:rPr>
                <w:rFonts w:ascii="Arial" w:hAnsi="Arial" w:cs="Arial"/>
                <w:sz w:val="22"/>
                <w:szCs w:val="22"/>
              </w:rPr>
              <w:t>Coulsfield’s</w:t>
            </w:r>
            <w:proofErr w:type="spellEnd"/>
            <w:r w:rsidRPr="00D40E65">
              <w:rPr>
                <w:rFonts w:ascii="Arial" w:hAnsi="Arial" w:cs="Arial"/>
                <w:sz w:val="22"/>
                <w:szCs w:val="22"/>
              </w:rPr>
              <w:t xml:space="preserve"> recommendation. Measure based on an average of all cases in the quarter</w:t>
            </w:r>
            <w:r>
              <w:rPr>
                <w:rFonts w:ascii="Arial" w:hAnsi="Arial" w:cs="Arial"/>
                <w:sz w:val="22"/>
                <w:szCs w:val="22"/>
              </w:rPr>
              <w:t>.</w:t>
            </w:r>
          </w:p>
        </w:tc>
      </w:tr>
      <w:tr w:rsidR="00B92F9E" w:rsidRPr="00D40E65" w:rsidTr="00B92F9E">
        <w:tc>
          <w:tcPr>
            <w:tcW w:w="1644" w:type="pct"/>
          </w:tcPr>
          <w:p w:rsidR="00B92F9E" w:rsidRPr="00D40E65" w:rsidRDefault="00B92F9E" w:rsidP="00364ED2">
            <w:pPr>
              <w:rPr>
                <w:rFonts w:ascii="Arial" w:hAnsi="Arial" w:cs="Arial"/>
                <w:sz w:val="22"/>
                <w:szCs w:val="22"/>
              </w:rPr>
            </w:pPr>
            <w:bookmarkStart w:id="2" w:name="OLE_LINK4"/>
            <w:r w:rsidRPr="00D32641">
              <w:rPr>
                <w:rFonts w:ascii="Arial" w:hAnsi="Arial" w:cs="Arial"/>
                <w:b/>
                <w:sz w:val="22"/>
                <w:szCs w:val="22"/>
              </w:rPr>
              <w:lastRenderedPageBreak/>
              <w:t>Outer House - Commercial Court.</w:t>
            </w:r>
          </w:p>
          <w:p w:rsidR="00B92F9E" w:rsidRDefault="00B92F9E" w:rsidP="006D66B4">
            <w:pPr>
              <w:rPr>
                <w:rFonts w:ascii="Arial" w:hAnsi="Arial" w:cs="Arial"/>
                <w:sz w:val="22"/>
                <w:szCs w:val="22"/>
              </w:rPr>
            </w:pPr>
            <w:r w:rsidRPr="00D40E65">
              <w:rPr>
                <w:rFonts w:ascii="Arial" w:hAnsi="Arial" w:cs="Arial"/>
                <w:sz w:val="22"/>
                <w:szCs w:val="22"/>
              </w:rPr>
              <w:t>The current waiting period between the first preliminary hearing and the first substantive hearing, as at the end of each quarter</w:t>
            </w:r>
            <w:r>
              <w:rPr>
                <w:rFonts w:ascii="Arial" w:hAnsi="Arial" w:cs="Arial"/>
                <w:sz w:val="22"/>
                <w:szCs w:val="22"/>
              </w:rPr>
              <w:t>.</w:t>
            </w:r>
          </w:p>
          <w:p w:rsidR="00672521" w:rsidRPr="00D40E65" w:rsidRDefault="00672521" w:rsidP="006D66B4">
            <w:pPr>
              <w:rPr>
                <w:rFonts w:ascii="Arial" w:hAnsi="Arial" w:cs="Arial"/>
                <w:sz w:val="22"/>
                <w:szCs w:val="22"/>
              </w:rPr>
            </w:pPr>
          </w:p>
        </w:tc>
        <w:tc>
          <w:tcPr>
            <w:tcW w:w="1582"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Red – more than 4 weeks above baseline</w:t>
            </w:r>
          </w:p>
          <w:p w:rsidR="00B92F9E" w:rsidRPr="00D40E65" w:rsidRDefault="00B92F9E" w:rsidP="00364ED2">
            <w:pPr>
              <w:rPr>
                <w:rFonts w:ascii="Arial" w:hAnsi="Arial" w:cs="Arial"/>
                <w:sz w:val="22"/>
                <w:szCs w:val="22"/>
              </w:rPr>
            </w:pPr>
            <w:r w:rsidRPr="00D40E65">
              <w:rPr>
                <w:rFonts w:ascii="Arial" w:hAnsi="Arial" w:cs="Arial"/>
                <w:sz w:val="22"/>
                <w:szCs w:val="22"/>
              </w:rPr>
              <w:t>Amber – 2 – 4 weeks above baseline</w:t>
            </w:r>
          </w:p>
          <w:p w:rsidR="00B92F9E" w:rsidRPr="00D40E65" w:rsidRDefault="00B92F9E" w:rsidP="00364ED2">
            <w:pPr>
              <w:rPr>
                <w:rFonts w:ascii="Arial" w:hAnsi="Arial" w:cs="Arial"/>
                <w:sz w:val="22"/>
                <w:szCs w:val="22"/>
              </w:rPr>
            </w:pPr>
            <w:r w:rsidRPr="00D40E65">
              <w:rPr>
                <w:rFonts w:ascii="Arial" w:hAnsi="Arial" w:cs="Arial"/>
                <w:sz w:val="22"/>
                <w:szCs w:val="22"/>
              </w:rPr>
              <w:t>Green – less than 2 weeks above baseline or below baseline</w:t>
            </w:r>
          </w:p>
        </w:tc>
        <w:tc>
          <w:tcPr>
            <w:tcW w:w="1774"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First preliminary hearing is after the lodging of defences and first substantive hearing is a proof or debate.</w:t>
            </w:r>
          </w:p>
          <w:p w:rsidR="00B92F9E" w:rsidRPr="00D40E65" w:rsidRDefault="00B92F9E" w:rsidP="00364ED2">
            <w:pPr>
              <w:rPr>
                <w:rFonts w:ascii="Arial" w:hAnsi="Arial" w:cs="Arial"/>
                <w:sz w:val="22"/>
                <w:szCs w:val="22"/>
              </w:rPr>
            </w:pPr>
            <w:r w:rsidRPr="00D40E65">
              <w:rPr>
                <w:rFonts w:ascii="Arial" w:hAnsi="Arial" w:cs="Arial"/>
                <w:sz w:val="22"/>
                <w:szCs w:val="22"/>
              </w:rPr>
              <w:t xml:space="preserve">Baseline figure </w:t>
            </w:r>
            <w:r>
              <w:rPr>
                <w:rFonts w:ascii="Arial" w:hAnsi="Arial" w:cs="Arial"/>
                <w:sz w:val="22"/>
                <w:szCs w:val="22"/>
              </w:rPr>
              <w:t>is</w:t>
            </w:r>
            <w:r w:rsidRPr="00D40E65">
              <w:rPr>
                <w:rFonts w:ascii="Arial" w:hAnsi="Arial" w:cs="Arial"/>
                <w:sz w:val="22"/>
                <w:szCs w:val="22"/>
              </w:rPr>
              <w:t xml:space="preserve"> </w:t>
            </w:r>
            <w:r>
              <w:rPr>
                <w:rFonts w:ascii="Arial" w:hAnsi="Arial" w:cs="Arial"/>
                <w:sz w:val="22"/>
                <w:szCs w:val="22"/>
              </w:rPr>
              <w:t xml:space="preserve">45 weeks, the average of 2011-12 performance. </w:t>
            </w:r>
          </w:p>
        </w:tc>
      </w:tr>
      <w:bookmarkEnd w:id="2"/>
      <w:tr w:rsidR="00B92F9E" w:rsidRPr="00D40E65" w:rsidTr="00B92F9E">
        <w:tc>
          <w:tcPr>
            <w:tcW w:w="1644" w:type="pct"/>
          </w:tcPr>
          <w:p w:rsidR="00B92F9E" w:rsidRPr="00D40E65" w:rsidRDefault="00B92F9E" w:rsidP="00364ED2">
            <w:pPr>
              <w:rPr>
                <w:rFonts w:ascii="Arial" w:hAnsi="Arial" w:cs="Arial"/>
                <w:sz w:val="22"/>
                <w:szCs w:val="22"/>
              </w:rPr>
            </w:pPr>
            <w:r w:rsidRPr="00D32641">
              <w:rPr>
                <w:rFonts w:ascii="Arial" w:hAnsi="Arial" w:cs="Arial"/>
                <w:b/>
                <w:sz w:val="22"/>
                <w:szCs w:val="22"/>
              </w:rPr>
              <w:t>Outer House – Other Actions.</w:t>
            </w:r>
          </w:p>
          <w:p w:rsidR="00B92F9E" w:rsidRPr="00D40E65" w:rsidRDefault="00B92F9E" w:rsidP="00364ED2">
            <w:pPr>
              <w:rPr>
                <w:rFonts w:ascii="Arial" w:hAnsi="Arial" w:cs="Arial"/>
                <w:sz w:val="22"/>
                <w:szCs w:val="22"/>
              </w:rPr>
            </w:pPr>
            <w:r w:rsidRPr="00D40E65">
              <w:rPr>
                <w:rFonts w:ascii="Arial" w:hAnsi="Arial" w:cs="Arial"/>
                <w:sz w:val="22"/>
                <w:szCs w:val="22"/>
              </w:rPr>
              <w:t>The current waiting period for a 4 day proof diet, as at the end of each quarter</w:t>
            </w:r>
            <w:r>
              <w:rPr>
                <w:rFonts w:ascii="Arial" w:hAnsi="Arial" w:cs="Arial"/>
                <w:sz w:val="22"/>
                <w:szCs w:val="22"/>
              </w:rPr>
              <w:t>.</w:t>
            </w:r>
          </w:p>
          <w:p w:rsidR="00B92F9E" w:rsidRPr="00D40E65" w:rsidRDefault="00B92F9E" w:rsidP="00364ED2">
            <w:pPr>
              <w:rPr>
                <w:rFonts w:ascii="Arial" w:hAnsi="Arial" w:cs="Arial"/>
                <w:sz w:val="22"/>
                <w:szCs w:val="22"/>
              </w:rPr>
            </w:pPr>
          </w:p>
        </w:tc>
        <w:tc>
          <w:tcPr>
            <w:tcW w:w="1582"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Red – more than 4 weeks above baseline</w:t>
            </w:r>
          </w:p>
          <w:p w:rsidR="00B92F9E" w:rsidRPr="00D40E65" w:rsidRDefault="00B92F9E" w:rsidP="00364ED2">
            <w:pPr>
              <w:rPr>
                <w:rFonts w:ascii="Arial" w:hAnsi="Arial" w:cs="Arial"/>
                <w:sz w:val="22"/>
                <w:szCs w:val="22"/>
              </w:rPr>
            </w:pPr>
            <w:r w:rsidRPr="00D40E65">
              <w:rPr>
                <w:rFonts w:ascii="Arial" w:hAnsi="Arial" w:cs="Arial"/>
                <w:sz w:val="22"/>
                <w:szCs w:val="22"/>
              </w:rPr>
              <w:t>Amber – 2 – 4 weeks above baseline</w:t>
            </w:r>
          </w:p>
          <w:p w:rsidR="00B92F9E" w:rsidRDefault="00B92F9E" w:rsidP="00364ED2">
            <w:pPr>
              <w:rPr>
                <w:rFonts w:ascii="Arial" w:hAnsi="Arial" w:cs="Arial"/>
                <w:sz w:val="22"/>
                <w:szCs w:val="22"/>
              </w:rPr>
            </w:pPr>
            <w:r w:rsidRPr="00D40E65">
              <w:rPr>
                <w:rFonts w:ascii="Arial" w:hAnsi="Arial" w:cs="Arial"/>
                <w:sz w:val="22"/>
                <w:szCs w:val="22"/>
              </w:rPr>
              <w:t>Green – less than 2 weeks above baseline or below baseline</w:t>
            </w:r>
          </w:p>
          <w:p w:rsidR="004145F1" w:rsidRPr="00D40E65" w:rsidRDefault="004145F1" w:rsidP="00364ED2">
            <w:pPr>
              <w:rPr>
                <w:rFonts w:ascii="Arial" w:hAnsi="Arial" w:cs="Arial"/>
                <w:sz w:val="22"/>
                <w:szCs w:val="22"/>
              </w:rPr>
            </w:pPr>
          </w:p>
        </w:tc>
        <w:tc>
          <w:tcPr>
            <w:tcW w:w="1774"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Measures the earliest 4 day hearing that can be offered by the Keeper.</w:t>
            </w:r>
          </w:p>
          <w:p w:rsidR="00B92F9E" w:rsidRPr="00D40E65" w:rsidRDefault="00B92F9E" w:rsidP="00364ED2">
            <w:pPr>
              <w:rPr>
                <w:rFonts w:ascii="Arial" w:hAnsi="Arial" w:cs="Arial"/>
                <w:sz w:val="22"/>
                <w:szCs w:val="22"/>
              </w:rPr>
            </w:pPr>
            <w:r w:rsidRPr="00D40E65">
              <w:rPr>
                <w:rFonts w:ascii="Arial" w:hAnsi="Arial" w:cs="Arial"/>
                <w:sz w:val="22"/>
                <w:szCs w:val="22"/>
              </w:rPr>
              <w:t xml:space="preserve">Baseline figure </w:t>
            </w:r>
            <w:r>
              <w:rPr>
                <w:rFonts w:ascii="Arial" w:hAnsi="Arial" w:cs="Arial"/>
                <w:sz w:val="22"/>
                <w:szCs w:val="22"/>
              </w:rPr>
              <w:t>is 30 weeks, the average of 2011-12 performance.</w:t>
            </w:r>
          </w:p>
        </w:tc>
      </w:tr>
      <w:tr w:rsidR="00B92F9E" w:rsidRPr="00D40E65" w:rsidTr="00B92F9E">
        <w:tc>
          <w:tcPr>
            <w:tcW w:w="1644" w:type="pct"/>
          </w:tcPr>
          <w:p w:rsidR="00B92F9E" w:rsidRPr="00D40E65" w:rsidRDefault="00B92F9E" w:rsidP="00364ED2">
            <w:pPr>
              <w:rPr>
                <w:rFonts w:ascii="Arial" w:hAnsi="Arial" w:cs="Arial"/>
                <w:sz w:val="22"/>
                <w:szCs w:val="22"/>
              </w:rPr>
            </w:pPr>
            <w:r w:rsidRPr="00D32641">
              <w:rPr>
                <w:rFonts w:ascii="Arial" w:hAnsi="Arial" w:cs="Arial"/>
                <w:b/>
                <w:sz w:val="22"/>
                <w:szCs w:val="22"/>
              </w:rPr>
              <w:t>Sheriff Court Civil.</w:t>
            </w:r>
          </w:p>
          <w:p w:rsidR="00B92F9E" w:rsidRDefault="00B92F9E" w:rsidP="00364ED2">
            <w:pPr>
              <w:rPr>
                <w:rFonts w:ascii="Arial" w:hAnsi="Arial" w:cs="Arial"/>
                <w:sz w:val="22"/>
                <w:szCs w:val="22"/>
              </w:rPr>
            </w:pPr>
            <w:r w:rsidRPr="00D40E65">
              <w:rPr>
                <w:rFonts w:ascii="Arial" w:hAnsi="Arial" w:cs="Arial"/>
                <w:sz w:val="22"/>
                <w:szCs w:val="22"/>
              </w:rPr>
              <w:t>The waiting period for ordinary civil cases in each sheriff court between the closing of the record and the first available date for proof or debate.</w:t>
            </w:r>
          </w:p>
          <w:p w:rsidR="00672521" w:rsidRPr="00D40E65" w:rsidRDefault="00672521" w:rsidP="00364ED2">
            <w:pPr>
              <w:rPr>
                <w:rFonts w:ascii="Arial" w:hAnsi="Arial" w:cs="Arial"/>
                <w:sz w:val="22"/>
                <w:szCs w:val="22"/>
              </w:rPr>
            </w:pPr>
          </w:p>
        </w:tc>
        <w:tc>
          <w:tcPr>
            <w:tcW w:w="1582" w:type="pct"/>
            <w:shd w:val="clear" w:color="auto" w:fill="auto"/>
          </w:tcPr>
          <w:p w:rsidR="00B92F9E" w:rsidRPr="002E1EFC" w:rsidRDefault="00B92F9E" w:rsidP="00364ED2">
            <w:pPr>
              <w:rPr>
                <w:rFonts w:ascii="Arial" w:hAnsi="Arial" w:cs="Arial"/>
                <w:sz w:val="22"/>
                <w:szCs w:val="22"/>
              </w:rPr>
            </w:pPr>
            <w:r w:rsidRPr="002E1EFC">
              <w:rPr>
                <w:rFonts w:ascii="Arial" w:hAnsi="Arial" w:cs="Arial"/>
                <w:sz w:val="22"/>
                <w:szCs w:val="22"/>
              </w:rPr>
              <w:t>Red – 4 or more weeks above baseline</w:t>
            </w:r>
          </w:p>
          <w:p w:rsidR="00B92F9E" w:rsidRPr="002E1EFC" w:rsidRDefault="00B92F9E" w:rsidP="00364ED2">
            <w:pPr>
              <w:rPr>
                <w:rFonts w:ascii="Arial" w:hAnsi="Arial" w:cs="Arial"/>
                <w:sz w:val="22"/>
                <w:szCs w:val="22"/>
              </w:rPr>
            </w:pPr>
            <w:r w:rsidRPr="002E1EFC">
              <w:rPr>
                <w:rFonts w:ascii="Arial" w:hAnsi="Arial" w:cs="Arial"/>
                <w:sz w:val="22"/>
                <w:szCs w:val="22"/>
              </w:rPr>
              <w:t>Amber – 2- 4 weeks above baseline</w:t>
            </w:r>
          </w:p>
          <w:p w:rsidR="00B92F9E" w:rsidRPr="00D40E65" w:rsidRDefault="00B92F9E" w:rsidP="00364ED2">
            <w:pPr>
              <w:rPr>
                <w:rFonts w:ascii="Arial" w:hAnsi="Arial" w:cs="Arial"/>
                <w:sz w:val="22"/>
                <w:szCs w:val="22"/>
              </w:rPr>
            </w:pPr>
            <w:r w:rsidRPr="002E1EFC">
              <w:rPr>
                <w:rFonts w:ascii="Arial" w:hAnsi="Arial" w:cs="Arial"/>
                <w:sz w:val="22"/>
                <w:szCs w:val="22"/>
              </w:rPr>
              <w:t>Green – less than 2 weeks above baseline</w:t>
            </w:r>
          </w:p>
        </w:tc>
        <w:tc>
          <w:tcPr>
            <w:tcW w:w="1774"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 xml:space="preserve">Baseline based on </w:t>
            </w:r>
            <w:r>
              <w:rPr>
                <w:rFonts w:ascii="Arial" w:hAnsi="Arial" w:cs="Arial"/>
                <w:sz w:val="22"/>
                <w:szCs w:val="22"/>
              </w:rPr>
              <w:t>2011-12</w:t>
            </w:r>
            <w:r w:rsidRPr="00D40E65">
              <w:rPr>
                <w:rFonts w:ascii="Arial" w:hAnsi="Arial" w:cs="Arial"/>
                <w:sz w:val="22"/>
                <w:szCs w:val="22"/>
              </w:rPr>
              <w:t xml:space="preserve"> </w:t>
            </w:r>
            <w:r>
              <w:rPr>
                <w:rFonts w:ascii="Arial" w:hAnsi="Arial" w:cs="Arial"/>
                <w:sz w:val="22"/>
                <w:szCs w:val="22"/>
              </w:rPr>
              <w:t>average of</w:t>
            </w:r>
            <w:r w:rsidRPr="00D40E65">
              <w:rPr>
                <w:rFonts w:ascii="Arial" w:hAnsi="Arial" w:cs="Arial"/>
                <w:sz w:val="22"/>
                <w:szCs w:val="22"/>
              </w:rPr>
              <w:t xml:space="preserve"> </w:t>
            </w:r>
            <w:r>
              <w:rPr>
                <w:rFonts w:ascii="Arial" w:hAnsi="Arial" w:cs="Arial"/>
                <w:sz w:val="22"/>
                <w:szCs w:val="22"/>
              </w:rPr>
              <w:t>11</w:t>
            </w:r>
            <w:r w:rsidRPr="00D40E65">
              <w:rPr>
                <w:rFonts w:ascii="Arial" w:hAnsi="Arial" w:cs="Arial"/>
                <w:sz w:val="22"/>
                <w:szCs w:val="22"/>
              </w:rPr>
              <w:t xml:space="preserve"> weeks</w:t>
            </w:r>
            <w:r>
              <w:rPr>
                <w:rFonts w:ascii="Arial" w:hAnsi="Arial" w:cs="Arial"/>
                <w:sz w:val="22"/>
                <w:szCs w:val="22"/>
              </w:rPr>
              <w:t>.</w:t>
            </w:r>
          </w:p>
        </w:tc>
      </w:tr>
      <w:tr w:rsidR="00B92F9E" w:rsidRPr="00D40E65" w:rsidTr="00B92F9E">
        <w:tc>
          <w:tcPr>
            <w:tcW w:w="1644" w:type="pct"/>
          </w:tcPr>
          <w:p w:rsidR="00B92F9E" w:rsidRPr="00D32641" w:rsidRDefault="00B92F9E" w:rsidP="00364ED2">
            <w:pPr>
              <w:rPr>
                <w:rFonts w:ascii="Arial" w:hAnsi="Arial" w:cs="Arial"/>
                <w:b/>
                <w:sz w:val="22"/>
                <w:szCs w:val="22"/>
              </w:rPr>
            </w:pPr>
            <w:r w:rsidRPr="00D32641">
              <w:rPr>
                <w:rFonts w:ascii="Arial" w:hAnsi="Arial" w:cs="Arial"/>
                <w:b/>
                <w:sz w:val="22"/>
                <w:szCs w:val="22"/>
              </w:rPr>
              <w:t>High Court First Instance.</w:t>
            </w:r>
          </w:p>
          <w:p w:rsidR="00B92F9E" w:rsidRPr="00D40E65" w:rsidRDefault="00B92F9E" w:rsidP="00364ED2">
            <w:pPr>
              <w:rPr>
                <w:rFonts w:ascii="Arial" w:hAnsi="Arial" w:cs="Arial"/>
                <w:i/>
                <w:sz w:val="22"/>
                <w:szCs w:val="22"/>
              </w:rPr>
            </w:pPr>
            <w:r w:rsidRPr="00D40E65">
              <w:rPr>
                <w:rFonts w:ascii="Arial" w:hAnsi="Arial" w:cs="Arial"/>
                <w:sz w:val="22"/>
                <w:szCs w:val="22"/>
              </w:rPr>
              <w:t>The average period between the date when the case was first cited to a preliminary hearing and the conclusion of the trial. (In relation to cases concluded during the quarter which proceeded to trial)</w:t>
            </w:r>
            <w:r>
              <w:rPr>
                <w:rFonts w:ascii="Arial" w:hAnsi="Arial" w:cs="Arial"/>
                <w:sz w:val="22"/>
                <w:szCs w:val="22"/>
              </w:rPr>
              <w:t>.</w:t>
            </w:r>
            <w:r w:rsidRPr="00D40E65">
              <w:rPr>
                <w:rFonts w:ascii="Arial" w:hAnsi="Arial" w:cs="Arial"/>
                <w:sz w:val="22"/>
                <w:szCs w:val="22"/>
              </w:rPr>
              <w:t xml:space="preserve"> </w:t>
            </w:r>
          </w:p>
          <w:p w:rsidR="00B92F9E" w:rsidRPr="00D40E65" w:rsidRDefault="00B92F9E" w:rsidP="00364ED2">
            <w:pPr>
              <w:rPr>
                <w:rFonts w:ascii="Arial" w:hAnsi="Arial" w:cs="Arial"/>
                <w:sz w:val="22"/>
                <w:szCs w:val="22"/>
              </w:rPr>
            </w:pPr>
          </w:p>
        </w:tc>
        <w:tc>
          <w:tcPr>
            <w:tcW w:w="1582"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 xml:space="preserve">Red – </w:t>
            </w:r>
            <w:r>
              <w:rPr>
                <w:rFonts w:ascii="Arial" w:hAnsi="Arial" w:cs="Arial"/>
                <w:sz w:val="22"/>
                <w:szCs w:val="22"/>
              </w:rPr>
              <w:t>4</w:t>
            </w:r>
            <w:r w:rsidRPr="00D40E65">
              <w:rPr>
                <w:rFonts w:ascii="Arial" w:hAnsi="Arial" w:cs="Arial"/>
                <w:sz w:val="22"/>
                <w:szCs w:val="22"/>
              </w:rPr>
              <w:t xml:space="preserve"> weeks above baseline</w:t>
            </w:r>
          </w:p>
          <w:p w:rsidR="00B92F9E" w:rsidRPr="00D40E65" w:rsidRDefault="00B92F9E" w:rsidP="00364ED2">
            <w:pPr>
              <w:rPr>
                <w:rFonts w:ascii="Arial" w:hAnsi="Arial" w:cs="Arial"/>
                <w:sz w:val="22"/>
                <w:szCs w:val="22"/>
              </w:rPr>
            </w:pPr>
            <w:r w:rsidRPr="00D40E65">
              <w:rPr>
                <w:rFonts w:ascii="Arial" w:hAnsi="Arial" w:cs="Arial"/>
                <w:sz w:val="22"/>
                <w:szCs w:val="22"/>
              </w:rPr>
              <w:t xml:space="preserve">Amber – </w:t>
            </w:r>
            <w:r>
              <w:rPr>
                <w:rFonts w:ascii="Arial" w:hAnsi="Arial" w:cs="Arial"/>
                <w:sz w:val="22"/>
                <w:szCs w:val="22"/>
              </w:rPr>
              <w:t>2</w:t>
            </w:r>
            <w:r w:rsidRPr="00D40E65">
              <w:rPr>
                <w:rFonts w:ascii="Arial" w:hAnsi="Arial" w:cs="Arial"/>
                <w:sz w:val="22"/>
                <w:szCs w:val="22"/>
              </w:rPr>
              <w:t xml:space="preserve"> – </w:t>
            </w:r>
            <w:r>
              <w:rPr>
                <w:rFonts w:ascii="Arial" w:hAnsi="Arial" w:cs="Arial"/>
                <w:sz w:val="22"/>
                <w:szCs w:val="22"/>
              </w:rPr>
              <w:t>4</w:t>
            </w:r>
            <w:r w:rsidRPr="00D40E65">
              <w:rPr>
                <w:rFonts w:ascii="Arial" w:hAnsi="Arial" w:cs="Arial"/>
                <w:sz w:val="22"/>
                <w:szCs w:val="22"/>
              </w:rPr>
              <w:t xml:space="preserve"> weeks above baseline</w:t>
            </w:r>
          </w:p>
          <w:p w:rsidR="00B92F9E" w:rsidRPr="00D40E65" w:rsidRDefault="00B92F9E" w:rsidP="00364ED2">
            <w:pPr>
              <w:rPr>
                <w:rFonts w:ascii="Arial" w:hAnsi="Arial" w:cs="Arial"/>
                <w:sz w:val="22"/>
                <w:szCs w:val="22"/>
              </w:rPr>
            </w:pPr>
            <w:r w:rsidRPr="00D40E65">
              <w:rPr>
                <w:rFonts w:ascii="Arial" w:hAnsi="Arial" w:cs="Arial"/>
                <w:sz w:val="22"/>
                <w:szCs w:val="22"/>
              </w:rPr>
              <w:t xml:space="preserve">Green – less than </w:t>
            </w:r>
            <w:r>
              <w:rPr>
                <w:rFonts w:ascii="Arial" w:hAnsi="Arial" w:cs="Arial"/>
                <w:sz w:val="22"/>
                <w:szCs w:val="22"/>
              </w:rPr>
              <w:t xml:space="preserve">2 </w:t>
            </w:r>
            <w:r w:rsidRPr="00D40E65">
              <w:rPr>
                <w:rFonts w:ascii="Arial" w:hAnsi="Arial" w:cs="Arial"/>
                <w:sz w:val="22"/>
                <w:szCs w:val="22"/>
              </w:rPr>
              <w:t>weeks above baseline or below baseline</w:t>
            </w:r>
          </w:p>
        </w:tc>
        <w:tc>
          <w:tcPr>
            <w:tcW w:w="1774"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Conclusion of the trial includes conviction, acquittal or acceptance of a plea.</w:t>
            </w:r>
          </w:p>
          <w:p w:rsidR="00B92F9E" w:rsidRPr="00D40E65" w:rsidRDefault="00B92F9E" w:rsidP="00364ED2">
            <w:pPr>
              <w:rPr>
                <w:rFonts w:ascii="Arial" w:hAnsi="Arial" w:cs="Arial"/>
                <w:sz w:val="22"/>
                <w:szCs w:val="22"/>
              </w:rPr>
            </w:pPr>
            <w:r w:rsidRPr="00D40E65">
              <w:rPr>
                <w:rFonts w:ascii="Arial" w:hAnsi="Arial" w:cs="Arial"/>
                <w:sz w:val="22"/>
                <w:szCs w:val="22"/>
              </w:rPr>
              <w:t xml:space="preserve">Baseline figure </w:t>
            </w:r>
            <w:r>
              <w:rPr>
                <w:rFonts w:ascii="Arial" w:hAnsi="Arial" w:cs="Arial"/>
                <w:sz w:val="22"/>
                <w:szCs w:val="22"/>
              </w:rPr>
              <w:t>is</w:t>
            </w:r>
            <w:r w:rsidRPr="00D40E65">
              <w:rPr>
                <w:rFonts w:ascii="Arial" w:hAnsi="Arial" w:cs="Arial"/>
                <w:sz w:val="22"/>
                <w:szCs w:val="22"/>
              </w:rPr>
              <w:t xml:space="preserve"> based on </w:t>
            </w:r>
            <w:r>
              <w:rPr>
                <w:rFonts w:ascii="Arial" w:hAnsi="Arial" w:cs="Arial"/>
                <w:sz w:val="22"/>
                <w:szCs w:val="22"/>
              </w:rPr>
              <w:t>2011-12</w:t>
            </w:r>
            <w:r w:rsidRPr="00D40E65">
              <w:rPr>
                <w:rFonts w:ascii="Arial" w:hAnsi="Arial" w:cs="Arial"/>
                <w:sz w:val="22"/>
                <w:szCs w:val="22"/>
              </w:rPr>
              <w:t xml:space="preserve"> average</w:t>
            </w:r>
            <w:r>
              <w:rPr>
                <w:rFonts w:ascii="Arial" w:hAnsi="Arial" w:cs="Arial"/>
                <w:sz w:val="22"/>
                <w:szCs w:val="22"/>
              </w:rPr>
              <w:t xml:space="preserve"> of 21 weeks</w:t>
            </w:r>
            <w:r w:rsidRPr="00D40E65">
              <w:rPr>
                <w:rFonts w:ascii="Arial" w:hAnsi="Arial" w:cs="Arial"/>
                <w:sz w:val="22"/>
                <w:szCs w:val="22"/>
              </w:rPr>
              <w:t xml:space="preserve">. </w:t>
            </w:r>
          </w:p>
        </w:tc>
      </w:tr>
      <w:tr w:rsidR="00B92F9E" w:rsidRPr="00D40E65" w:rsidTr="00B92F9E">
        <w:tc>
          <w:tcPr>
            <w:tcW w:w="1644" w:type="pct"/>
          </w:tcPr>
          <w:p w:rsidR="00B92F9E" w:rsidRPr="0032001D" w:rsidRDefault="00B92F9E" w:rsidP="00364ED2">
            <w:pPr>
              <w:rPr>
                <w:rFonts w:ascii="Arial" w:hAnsi="Arial" w:cs="Arial"/>
                <w:b/>
                <w:sz w:val="22"/>
                <w:szCs w:val="22"/>
              </w:rPr>
            </w:pPr>
            <w:r w:rsidRPr="0032001D">
              <w:rPr>
                <w:rFonts w:ascii="Arial" w:hAnsi="Arial" w:cs="Arial"/>
                <w:b/>
                <w:sz w:val="22"/>
                <w:szCs w:val="22"/>
              </w:rPr>
              <w:t>Sheriff and Jury.</w:t>
            </w:r>
          </w:p>
          <w:p w:rsidR="00B92F9E" w:rsidRPr="00D40E65" w:rsidRDefault="00B92F9E" w:rsidP="00364ED2">
            <w:pPr>
              <w:rPr>
                <w:rFonts w:ascii="Arial" w:hAnsi="Arial" w:cs="Arial"/>
                <w:sz w:val="22"/>
                <w:szCs w:val="22"/>
              </w:rPr>
            </w:pPr>
            <w:r w:rsidRPr="00D40E65">
              <w:rPr>
                <w:rFonts w:ascii="Arial" w:hAnsi="Arial" w:cs="Arial"/>
                <w:sz w:val="22"/>
                <w:szCs w:val="22"/>
              </w:rPr>
              <w:t>The average period between the date of the first diet and the conclusion of the trial. (In relation to cases concluded during the quarter which proceeded to trial)</w:t>
            </w:r>
            <w:r>
              <w:rPr>
                <w:rFonts w:ascii="Arial" w:hAnsi="Arial" w:cs="Arial"/>
                <w:sz w:val="22"/>
                <w:szCs w:val="22"/>
              </w:rPr>
              <w:t>.</w:t>
            </w:r>
          </w:p>
          <w:p w:rsidR="00B92F9E" w:rsidRPr="00D40E65" w:rsidRDefault="00B92F9E" w:rsidP="00364ED2">
            <w:pPr>
              <w:rPr>
                <w:rFonts w:ascii="Arial" w:hAnsi="Arial" w:cs="Arial"/>
                <w:sz w:val="22"/>
                <w:szCs w:val="22"/>
              </w:rPr>
            </w:pPr>
          </w:p>
        </w:tc>
        <w:tc>
          <w:tcPr>
            <w:tcW w:w="1582"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 xml:space="preserve">Red – </w:t>
            </w:r>
            <w:r>
              <w:rPr>
                <w:rFonts w:ascii="Arial" w:hAnsi="Arial" w:cs="Arial"/>
                <w:sz w:val="22"/>
                <w:szCs w:val="22"/>
              </w:rPr>
              <w:t xml:space="preserve">4 </w:t>
            </w:r>
            <w:r w:rsidRPr="00D40E65">
              <w:rPr>
                <w:rFonts w:ascii="Arial" w:hAnsi="Arial" w:cs="Arial"/>
                <w:sz w:val="22"/>
                <w:szCs w:val="22"/>
              </w:rPr>
              <w:t>weeks above baseline</w:t>
            </w:r>
          </w:p>
          <w:p w:rsidR="00B92F9E" w:rsidRPr="00D40E65" w:rsidRDefault="00B92F9E" w:rsidP="00364ED2">
            <w:pPr>
              <w:rPr>
                <w:rFonts w:ascii="Arial" w:hAnsi="Arial" w:cs="Arial"/>
                <w:sz w:val="22"/>
                <w:szCs w:val="22"/>
              </w:rPr>
            </w:pPr>
            <w:r w:rsidRPr="00D40E65">
              <w:rPr>
                <w:rFonts w:ascii="Arial" w:hAnsi="Arial" w:cs="Arial"/>
                <w:sz w:val="22"/>
                <w:szCs w:val="22"/>
              </w:rPr>
              <w:t xml:space="preserve">Amber – </w:t>
            </w:r>
            <w:r>
              <w:rPr>
                <w:rFonts w:ascii="Arial" w:hAnsi="Arial" w:cs="Arial"/>
                <w:sz w:val="22"/>
                <w:szCs w:val="22"/>
              </w:rPr>
              <w:t>2</w:t>
            </w:r>
            <w:r w:rsidRPr="00D40E65">
              <w:rPr>
                <w:rFonts w:ascii="Arial" w:hAnsi="Arial" w:cs="Arial"/>
                <w:sz w:val="22"/>
                <w:szCs w:val="22"/>
              </w:rPr>
              <w:t xml:space="preserve"> – </w:t>
            </w:r>
            <w:r>
              <w:rPr>
                <w:rFonts w:ascii="Arial" w:hAnsi="Arial" w:cs="Arial"/>
                <w:sz w:val="22"/>
                <w:szCs w:val="22"/>
              </w:rPr>
              <w:t>4</w:t>
            </w:r>
            <w:r w:rsidRPr="00D40E65">
              <w:rPr>
                <w:rFonts w:ascii="Arial" w:hAnsi="Arial" w:cs="Arial"/>
                <w:sz w:val="22"/>
                <w:szCs w:val="22"/>
              </w:rPr>
              <w:t xml:space="preserve"> weeks above baseline</w:t>
            </w:r>
          </w:p>
          <w:p w:rsidR="00B92F9E" w:rsidRPr="00D40E65" w:rsidRDefault="00B92F9E" w:rsidP="00364ED2">
            <w:pPr>
              <w:rPr>
                <w:rFonts w:ascii="Arial" w:hAnsi="Arial" w:cs="Arial"/>
                <w:sz w:val="22"/>
                <w:szCs w:val="22"/>
              </w:rPr>
            </w:pPr>
            <w:r w:rsidRPr="00D40E65">
              <w:rPr>
                <w:rFonts w:ascii="Arial" w:hAnsi="Arial" w:cs="Arial"/>
                <w:sz w:val="22"/>
                <w:szCs w:val="22"/>
              </w:rPr>
              <w:t xml:space="preserve">Green – less than </w:t>
            </w:r>
            <w:r>
              <w:rPr>
                <w:rFonts w:ascii="Arial" w:hAnsi="Arial" w:cs="Arial"/>
                <w:sz w:val="22"/>
                <w:szCs w:val="22"/>
              </w:rPr>
              <w:t>2</w:t>
            </w:r>
            <w:r w:rsidRPr="00D40E65">
              <w:rPr>
                <w:rFonts w:ascii="Arial" w:hAnsi="Arial" w:cs="Arial"/>
                <w:sz w:val="22"/>
                <w:szCs w:val="22"/>
              </w:rPr>
              <w:t xml:space="preserve"> weeks above baseline or below baseline</w:t>
            </w:r>
          </w:p>
        </w:tc>
        <w:tc>
          <w:tcPr>
            <w:tcW w:w="1774"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Conclusion of the trial includes conviction, acquittal or acceptance of a plea.</w:t>
            </w:r>
          </w:p>
          <w:p w:rsidR="00B92F9E" w:rsidRPr="00D40E65" w:rsidRDefault="00B92F9E" w:rsidP="00364ED2">
            <w:pPr>
              <w:rPr>
                <w:rFonts w:ascii="Arial" w:hAnsi="Arial" w:cs="Arial"/>
                <w:sz w:val="22"/>
                <w:szCs w:val="22"/>
              </w:rPr>
            </w:pPr>
            <w:r w:rsidRPr="00D40E65">
              <w:rPr>
                <w:rFonts w:ascii="Arial" w:hAnsi="Arial" w:cs="Arial"/>
                <w:sz w:val="22"/>
                <w:szCs w:val="22"/>
              </w:rPr>
              <w:t>Definition is mirroring that of High Court First Instance</w:t>
            </w:r>
            <w:r>
              <w:rPr>
                <w:rFonts w:ascii="Arial" w:hAnsi="Arial" w:cs="Arial"/>
                <w:sz w:val="22"/>
                <w:szCs w:val="22"/>
              </w:rPr>
              <w:t>.</w:t>
            </w:r>
          </w:p>
          <w:p w:rsidR="00B92F9E" w:rsidRPr="00D40E65" w:rsidRDefault="00B92F9E" w:rsidP="00364ED2">
            <w:pPr>
              <w:rPr>
                <w:rFonts w:ascii="Arial" w:hAnsi="Arial" w:cs="Arial"/>
                <w:sz w:val="22"/>
                <w:szCs w:val="22"/>
              </w:rPr>
            </w:pPr>
            <w:r w:rsidRPr="00D40E65">
              <w:rPr>
                <w:rFonts w:ascii="Arial" w:hAnsi="Arial" w:cs="Arial"/>
                <w:sz w:val="22"/>
                <w:szCs w:val="22"/>
              </w:rPr>
              <w:t xml:space="preserve">Baseline figure </w:t>
            </w:r>
            <w:r>
              <w:rPr>
                <w:rFonts w:ascii="Arial" w:hAnsi="Arial" w:cs="Arial"/>
                <w:sz w:val="22"/>
                <w:szCs w:val="22"/>
              </w:rPr>
              <w:t xml:space="preserve">is </w:t>
            </w:r>
            <w:r w:rsidRPr="00D40E65">
              <w:rPr>
                <w:rFonts w:ascii="Arial" w:hAnsi="Arial" w:cs="Arial"/>
                <w:sz w:val="22"/>
                <w:szCs w:val="22"/>
              </w:rPr>
              <w:t xml:space="preserve">based on </w:t>
            </w:r>
            <w:r>
              <w:rPr>
                <w:rFonts w:ascii="Arial" w:hAnsi="Arial" w:cs="Arial"/>
                <w:sz w:val="22"/>
                <w:szCs w:val="22"/>
              </w:rPr>
              <w:t>2011-12</w:t>
            </w:r>
            <w:r w:rsidRPr="00D40E65">
              <w:rPr>
                <w:rFonts w:ascii="Arial" w:hAnsi="Arial" w:cs="Arial"/>
                <w:sz w:val="22"/>
                <w:szCs w:val="22"/>
              </w:rPr>
              <w:t xml:space="preserve"> average</w:t>
            </w:r>
            <w:r>
              <w:rPr>
                <w:rFonts w:ascii="Arial" w:hAnsi="Arial" w:cs="Arial"/>
                <w:sz w:val="22"/>
                <w:szCs w:val="22"/>
              </w:rPr>
              <w:t xml:space="preserve"> of 12.4 weeks.</w:t>
            </w:r>
          </w:p>
        </w:tc>
      </w:tr>
      <w:tr w:rsidR="00B92F9E" w:rsidRPr="00D40E65" w:rsidTr="00B92F9E">
        <w:tc>
          <w:tcPr>
            <w:tcW w:w="1644" w:type="pct"/>
          </w:tcPr>
          <w:p w:rsidR="00B92F9E" w:rsidRPr="0032001D" w:rsidRDefault="00B92F9E" w:rsidP="00364ED2">
            <w:pPr>
              <w:rPr>
                <w:rFonts w:ascii="Arial" w:hAnsi="Arial" w:cs="Arial"/>
                <w:b/>
                <w:sz w:val="22"/>
                <w:szCs w:val="22"/>
              </w:rPr>
            </w:pPr>
            <w:r w:rsidRPr="0032001D">
              <w:rPr>
                <w:rFonts w:ascii="Arial" w:hAnsi="Arial" w:cs="Arial"/>
                <w:b/>
                <w:sz w:val="22"/>
                <w:szCs w:val="22"/>
              </w:rPr>
              <w:t>Office of the Public Guardian</w:t>
            </w:r>
          </w:p>
          <w:p w:rsidR="00B92F9E" w:rsidRPr="00D40E65" w:rsidRDefault="00B92F9E" w:rsidP="004145F1">
            <w:pPr>
              <w:rPr>
                <w:rFonts w:ascii="Arial" w:hAnsi="Arial" w:cs="Arial"/>
                <w:sz w:val="22"/>
                <w:szCs w:val="22"/>
              </w:rPr>
            </w:pPr>
            <w:r w:rsidRPr="00D40E65">
              <w:rPr>
                <w:rFonts w:ascii="Arial" w:hAnsi="Arial" w:cs="Arial"/>
                <w:sz w:val="22"/>
                <w:szCs w:val="22"/>
              </w:rPr>
              <w:t>Percentage of guardianship orders registered within 5 working days</w:t>
            </w:r>
            <w:r>
              <w:rPr>
                <w:rFonts w:ascii="Arial" w:hAnsi="Arial" w:cs="Arial"/>
                <w:sz w:val="22"/>
                <w:szCs w:val="22"/>
              </w:rPr>
              <w:t>.</w:t>
            </w:r>
          </w:p>
        </w:tc>
        <w:tc>
          <w:tcPr>
            <w:tcW w:w="1582" w:type="pct"/>
            <w:shd w:val="clear" w:color="auto" w:fill="auto"/>
          </w:tcPr>
          <w:p w:rsidR="00B92F9E" w:rsidRPr="00D40E65" w:rsidRDefault="00B92F9E" w:rsidP="00364ED2">
            <w:pPr>
              <w:rPr>
                <w:rFonts w:ascii="Arial" w:hAnsi="Arial" w:cs="Arial"/>
                <w:sz w:val="22"/>
                <w:szCs w:val="22"/>
              </w:rPr>
            </w:pPr>
            <w:r w:rsidRPr="00D40E65">
              <w:rPr>
                <w:rFonts w:ascii="Arial" w:hAnsi="Arial" w:cs="Arial"/>
                <w:sz w:val="22"/>
                <w:szCs w:val="22"/>
              </w:rPr>
              <w:t>Red&lt;90%</w:t>
            </w:r>
          </w:p>
          <w:p w:rsidR="00B92F9E" w:rsidRPr="00D40E65" w:rsidRDefault="00B92F9E" w:rsidP="00364ED2">
            <w:pPr>
              <w:rPr>
                <w:rFonts w:ascii="Arial" w:hAnsi="Arial" w:cs="Arial"/>
                <w:sz w:val="22"/>
                <w:szCs w:val="22"/>
              </w:rPr>
            </w:pPr>
            <w:r w:rsidRPr="00D40E65">
              <w:rPr>
                <w:rFonts w:ascii="Arial" w:hAnsi="Arial" w:cs="Arial"/>
                <w:sz w:val="22"/>
                <w:szCs w:val="22"/>
              </w:rPr>
              <w:t>Amber 90% -94%</w:t>
            </w:r>
          </w:p>
          <w:p w:rsidR="00B92F9E" w:rsidRPr="00D40E65" w:rsidRDefault="00B92F9E" w:rsidP="00364ED2">
            <w:pPr>
              <w:rPr>
                <w:rFonts w:ascii="Arial" w:hAnsi="Arial" w:cs="Arial"/>
                <w:sz w:val="22"/>
                <w:szCs w:val="22"/>
              </w:rPr>
            </w:pPr>
            <w:r w:rsidRPr="00D40E65">
              <w:rPr>
                <w:rFonts w:ascii="Arial" w:hAnsi="Arial" w:cs="Arial"/>
                <w:sz w:val="22"/>
                <w:szCs w:val="22"/>
              </w:rPr>
              <w:t>Green &gt;94%</w:t>
            </w:r>
          </w:p>
        </w:tc>
        <w:tc>
          <w:tcPr>
            <w:tcW w:w="1774" w:type="pct"/>
            <w:shd w:val="clear" w:color="auto" w:fill="auto"/>
          </w:tcPr>
          <w:p w:rsidR="00B92F9E" w:rsidRPr="00D40E65" w:rsidRDefault="00B92F9E" w:rsidP="00364ED2">
            <w:pPr>
              <w:rPr>
                <w:rFonts w:ascii="Arial" w:hAnsi="Arial" w:cs="Arial"/>
                <w:sz w:val="22"/>
                <w:szCs w:val="22"/>
              </w:rPr>
            </w:pPr>
            <w:r>
              <w:rPr>
                <w:rFonts w:ascii="Arial" w:hAnsi="Arial" w:cs="Arial"/>
                <w:sz w:val="22"/>
                <w:szCs w:val="22"/>
              </w:rPr>
              <w:t>Data published on OPG website.</w:t>
            </w:r>
          </w:p>
        </w:tc>
      </w:tr>
    </w:tbl>
    <w:p w:rsidR="002A46BF" w:rsidRDefault="002A46BF" w:rsidP="00ED0E87">
      <w:pPr>
        <w:rPr>
          <w:rFonts w:ascii="Arial" w:hAnsi="Arial" w:cs="Arial"/>
          <w:b/>
          <w:sz w:val="22"/>
          <w:szCs w:val="22"/>
        </w:rPr>
        <w:sectPr w:rsidR="002A46BF">
          <w:pgSz w:w="11906" w:h="16838"/>
          <w:pgMar w:top="1440" w:right="1800" w:bottom="1440" w:left="180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5582"/>
      </w:tblGrid>
      <w:tr w:rsidR="002A46BF" w:rsidRPr="00D40E65" w:rsidTr="007E76EB">
        <w:trPr>
          <w:trHeight w:val="466"/>
        </w:trPr>
        <w:tc>
          <w:tcPr>
            <w:tcW w:w="1727" w:type="pct"/>
            <w:shd w:val="clear" w:color="auto" w:fill="0FC1A3"/>
          </w:tcPr>
          <w:p w:rsidR="002A46BF" w:rsidRPr="00D40E65" w:rsidRDefault="002A46BF" w:rsidP="00FB4A0E">
            <w:pPr>
              <w:rPr>
                <w:rFonts w:ascii="Arial" w:hAnsi="Arial" w:cs="Arial"/>
                <w:b/>
                <w:sz w:val="22"/>
                <w:szCs w:val="22"/>
              </w:rPr>
            </w:pPr>
            <w:r w:rsidRPr="00940BCB">
              <w:rPr>
                <w:rFonts w:ascii="Arial" w:hAnsi="Arial" w:cs="Arial"/>
                <w:b/>
                <w:szCs w:val="22"/>
              </w:rPr>
              <w:lastRenderedPageBreak/>
              <w:t>Strategic Priority 5</w:t>
            </w:r>
          </w:p>
        </w:tc>
        <w:tc>
          <w:tcPr>
            <w:tcW w:w="3273" w:type="pct"/>
            <w:shd w:val="clear" w:color="auto" w:fill="0FC1A3"/>
          </w:tcPr>
          <w:p w:rsidR="002A46BF" w:rsidRPr="00D40E65" w:rsidRDefault="002A46BF" w:rsidP="002A46BF">
            <w:pPr>
              <w:rPr>
                <w:rFonts w:ascii="Arial" w:hAnsi="Arial" w:cs="Arial"/>
                <w:b/>
                <w:sz w:val="22"/>
                <w:szCs w:val="22"/>
              </w:rPr>
            </w:pPr>
            <w:r w:rsidRPr="00940BCB">
              <w:rPr>
                <w:rFonts w:ascii="Arial" w:hAnsi="Arial" w:cs="Arial"/>
                <w:b/>
                <w:szCs w:val="22"/>
              </w:rPr>
              <w:t>Efficient Business Processes</w:t>
            </w:r>
          </w:p>
        </w:tc>
      </w:tr>
      <w:tr w:rsidR="002A46BF" w:rsidRPr="00D40E65" w:rsidTr="007E76EB">
        <w:tc>
          <w:tcPr>
            <w:tcW w:w="1727" w:type="pct"/>
          </w:tcPr>
          <w:p w:rsidR="002A46BF" w:rsidRPr="002A46BF" w:rsidRDefault="002A46BF" w:rsidP="002A46BF">
            <w:pPr>
              <w:rPr>
                <w:rFonts w:ascii="Arial" w:hAnsi="Arial" w:cs="Arial"/>
                <w:b/>
                <w:color w:val="000000" w:themeColor="text1"/>
                <w:sz w:val="22"/>
                <w:szCs w:val="22"/>
              </w:rPr>
            </w:pPr>
            <w:r w:rsidRPr="002A46BF">
              <w:rPr>
                <w:rFonts w:ascii="Arial" w:hAnsi="Arial" w:cs="Arial"/>
                <w:b/>
                <w:color w:val="000000" w:themeColor="text1"/>
                <w:sz w:val="22"/>
                <w:szCs w:val="22"/>
              </w:rPr>
              <w:t>Measure 5(</w:t>
            </w:r>
            <w:r w:rsidR="00BA1F3F">
              <w:rPr>
                <w:rFonts w:ascii="Arial" w:hAnsi="Arial" w:cs="Arial"/>
                <w:b/>
                <w:color w:val="000000" w:themeColor="text1"/>
                <w:sz w:val="22"/>
                <w:szCs w:val="22"/>
              </w:rPr>
              <w:t>e</w:t>
            </w:r>
            <w:r w:rsidRPr="002A46BF">
              <w:rPr>
                <w:rFonts w:ascii="Arial" w:hAnsi="Arial" w:cs="Arial"/>
                <w:b/>
                <w:color w:val="000000" w:themeColor="text1"/>
                <w:sz w:val="22"/>
                <w:szCs w:val="22"/>
              </w:rPr>
              <w:t>)</w:t>
            </w:r>
          </w:p>
        </w:tc>
        <w:tc>
          <w:tcPr>
            <w:tcW w:w="3273" w:type="pct"/>
          </w:tcPr>
          <w:p w:rsidR="002A46BF" w:rsidRDefault="002A46BF" w:rsidP="002A46BF">
            <w:pPr>
              <w:rPr>
                <w:rFonts w:ascii="Arial" w:hAnsi="Arial" w:cs="Arial"/>
                <w:b/>
                <w:sz w:val="22"/>
                <w:szCs w:val="22"/>
              </w:rPr>
            </w:pPr>
            <w:r>
              <w:rPr>
                <w:rFonts w:ascii="Arial" w:hAnsi="Arial" w:cs="Arial"/>
                <w:b/>
                <w:sz w:val="22"/>
                <w:szCs w:val="22"/>
              </w:rPr>
              <w:t>Effective Tribunal Operations</w:t>
            </w:r>
          </w:p>
          <w:p w:rsidR="002A46BF" w:rsidRPr="00D40E65" w:rsidRDefault="002A46BF" w:rsidP="002A46BF">
            <w:pPr>
              <w:rPr>
                <w:rFonts w:ascii="Arial" w:hAnsi="Arial" w:cs="Arial"/>
                <w:b/>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Description</w:t>
            </w:r>
            <w:r>
              <w:rPr>
                <w:rFonts w:ascii="Arial" w:hAnsi="Arial" w:cs="Arial"/>
                <w:sz w:val="22"/>
                <w:szCs w:val="22"/>
              </w:rPr>
              <w:t xml:space="preserve"> of Measure</w:t>
            </w:r>
          </w:p>
        </w:tc>
        <w:tc>
          <w:tcPr>
            <w:tcW w:w="3273" w:type="pct"/>
          </w:tcPr>
          <w:p w:rsidR="002A46BF" w:rsidRDefault="00BA1F3F" w:rsidP="002A46BF">
            <w:pPr>
              <w:rPr>
                <w:rFonts w:ascii="Arial" w:hAnsi="Arial" w:cs="Arial"/>
                <w:sz w:val="22"/>
                <w:szCs w:val="22"/>
              </w:rPr>
            </w:pPr>
            <w:r>
              <w:rPr>
                <w:rFonts w:ascii="Arial" w:hAnsi="Arial" w:cs="Arial"/>
                <w:sz w:val="22"/>
                <w:szCs w:val="22"/>
              </w:rPr>
              <w:t>A basket of key operational targets designed to monitor</w:t>
            </w:r>
            <w:r w:rsidR="002A46BF">
              <w:rPr>
                <w:rFonts w:ascii="Arial" w:hAnsi="Arial" w:cs="Arial"/>
                <w:sz w:val="22"/>
                <w:szCs w:val="22"/>
              </w:rPr>
              <w:t xml:space="preserve"> the effective administration of devolved tribunals</w:t>
            </w:r>
            <w:r w:rsidR="00BE5AC3">
              <w:rPr>
                <w:rFonts w:ascii="Arial" w:hAnsi="Arial" w:cs="Arial"/>
                <w:sz w:val="22"/>
                <w:szCs w:val="22"/>
              </w:rPr>
              <w:t>.</w:t>
            </w:r>
          </w:p>
          <w:p w:rsidR="002A46BF" w:rsidRPr="00D40E65" w:rsidRDefault="002A46BF" w:rsidP="002A46BF">
            <w:pPr>
              <w:rPr>
                <w:rFonts w:ascii="Arial" w:hAnsi="Arial" w:cs="Arial"/>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Purpose of Measure</w:t>
            </w:r>
          </w:p>
          <w:p w:rsidR="002A46BF" w:rsidRDefault="002A46BF" w:rsidP="002A46BF">
            <w:pPr>
              <w:rPr>
                <w:rFonts w:ascii="Arial" w:hAnsi="Arial" w:cs="Arial"/>
                <w:sz w:val="22"/>
                <w:szCs w:val="22"/>
              </w:rPr>
            </w:pPr>
          </w:p>
          <w:p w:rsidR="002A46BF" w:rsidRPr="00D40E65" w:rsidRDefault="002A46BF" w:rsidP="002A46BF">
            <w:pPr>
              <w:rPr>
                <w:rFonts w:ascii="Arial" w:hAnsi="Arial" w:cs="Arial"/>
                <w:sz w:val="22"/>
                <w:szCs w:val="22"/>
              </w:rPr>
            </w:pPr>
          </w:p>
        </w:tc>
        <w:tc>
          <w:tcPr>
            <w:tcW w:w="3273" w:type="pct"/>
          </w:tcPr>
          <w:p w:rsidR="005C35E8" w:rsidRDefault="00B27C3F" w:rsidP="002A46BF">
            <w:pPr>
              <w:rPr>
                <w:rFonts w:ascii="Arial" w:hAnsi="Arial" w:cs="Arial"/>
                <w:sz w:val="22"/>
                <w:szCs w:val="22"/>
              </w:rPr>
            </w:pPr>
            <w:r>
              <w:rPr>
                <w:rFonts w:ascii="Arial" w:hAnsi="Arial" w:cs="Arial"/>
                <w:sz w:val="22"/>
                <w:szCs w:val="22"/>
              </w:rPr>
              <w:t xml:space="preserve">A range of devolved tribunals came under the control of SCTS as a consequence of the merger in April 2015.  Whilst the tribunals are individually led and managed it is important that the SCTS Board has reassurance that core activities required to maintain their effective operation are being delivered </w:t>
            </w:r>
            <w:r w:rsidR="005C35E8">
              <w:rPr>
                <w:rFonts w:ascii="Arial" w:hAnsi="Arial" w:cs="Arial"/>
                <w:sz w:val="22"/>
                <w:szCs w:val="22"/>
              </w:rPr>
              <w:t>to the required standard.</w:t>
            </w:r>
          </w:p>
          <w:p w:rsidR="005C35E8" w:rsidRDefault="005C35E8" w:rsidP="002A46BF">
            <w:pPr>
              <w:rPr>
                <w:rFonts w:ascii="Arial" w:hAnsi="Arial" w:cs="Arial"/>
                <w:sz w:val="22"/>
                <w:szCs w:val="22"/>
              </w:rPr>
            </w:pPr>
          </w:p>
          <w:p w:rsidR="002A46BF" w:rsidRDefault="005C35E8" w:rsidP="002A46BF">
            <w:pPr>
              <w:rPr>
                <w:rFonts w:ascii="Arial" w:hAnsi="Arial" w:cs="Arial"/>
                <w:sz w:val="22"/>
                <w:szCs w:val="22"/>
              </w:rPr>
            </w:pPr>
            <w:r>
              <w:rPr>
                <w:rFonts w:ascii="Arial" w:hAnsi="Arial" w:cs="Arial"/>
                <w:sz w:val="22"/>
                <w:szCs w:val="22"/>
              </w:rPr>
              <w:t xml:space="preserve">This indicator provides a basket of </w:t>
            </w:r>
            <w:r w:rsidR="00D45DAD" w:rsidRPr="00D45DAD">
              <w:rPr>
                <w:rFonts w:ascii="Arial" w:hAnsi="Arial" w:cs="Arial"/>
                <w:sz w:val="22"/>
                <w:szCs w:val="22"/>
              </w:rPr>
              <w:t>14</w:t>
            </w:r>
            <w:r>
              <w:rPr>
                <w:rFonts w:ascii="Arial" w:hAnsi="Arial" w:cs="Arial"/>
                <w:sz w:val="22"/>
                <w:szCs w:val="22"/>
              </w:rPr>
              <w:t xml:space="preserve"> target-based measures, covering key process targets in relation to the performance of the devolved tribunals.  If the majority of these targets are being met the Board can be assured that tribunal administration is effective.  Where </w:t>
            </w:r>
            <w:r w:rsidR="00BA1F3F">
              <w:rPr>
                <w:rFonts w:ascii="Arial" w:hAnsi="Arial" w:cs="Arial"/>
                <w:sz w:val="22"/>
                <w:szCs w:val="22"/>
              </w:rPr>
              <w:t>a number of these indicators</w:t>
            </w:r>
            <w:r>
              <w:rPr>
                <w:rFonts w:ascii="Arial" w:hAnsi="Arial" w:cs="Arial"/>
                <w:sz w:val="22"/>
                <w:szCs w:val="22"/>
              </w:rPr>
              <w:t xml:space="preserve"> fall short of targeted performance the Board may wish to explore the causes in order to ensure that administration remains effective – or remedial action is taken where necessary.</w:t>
            </w:r>
          </w:p>
          <w:p w:rsidR="005C35E8" w:rsidRPr="00D40E65" w:rsidRDefault="005C35E8" w:rsidP="002A46BF">
            <w:pPr>
              <w:rPr>
                <w:rFonts w:ascii="Arial" w:hAnsi="Arial" w:cs="Arial"/>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Measure Owner</w:t>
            </w:r>
          </w:p>
        </w:tc>
        <w:tc>
          <w:tcPr>
            <w:tcW w:w="3273" w:type="pct"/>
          </w:tcPr>
          <w:p w:rsidR="002A46BF" w:rsidRDefault="00BE5AC3" w:rsidP="002A46BF">
            <w:pPr>
              <w:rPr>
                <w:rFonts w:ascii="Arial" w:hAnsi="Arial" w:cs="Arial"/>
                <w:sz w:val="22"/>
                <w:szCs w:val="22"/>
              </w:rPr>
            </w:pPr>
            <w:r>
              <w:rPr>
                <w:rFonts w:ascii="Arial" w:hAnsi="Arial" w:cs="Arial"/>
                <w:sz w:val="22"/>
                <w:szCs w:val="22"/>
              </w:rPr>
              <w:t>Head of Tribunal</w:t>
            </w:r>
            <w:r w:rsidR="002A46BF" w:rsidRPr="0033094D">
              <w:rPr>
                <w:rFonts w:ascii="Arial" w:hAnsi="Arial" w:cs="Arial"/>
                <w:sz w:val="22"/>
                <w:szCs w:val="22"/>
              </w:rPr>
              <w:t xml:space="preserve"> Operations </w:t>
            </w:r>
          </w:p>
          <w:p w:rsidR="002A46BF" w:rsidRPr="00D40E65" w:rsidRDefault="002A46BF" w:rsidP="002A46BF">
            <w:pPr>
              <w:rPr>
                <w:rFonts w:ascii="Arial" w:hAnsi="Arial" w:cs="Arial"/>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Source of the data</w:t>
            </w:r>
          </w:p>
        </w:tc>
        <w:tc>
          <w:tcPr>
            <w:tcW w:w="3273" w:type="pct"/>
          </w:tcPr>
          <w:p w:rsidR="002A46BF" w:rsidRDefault="00BE5AC3" w:rsidP="002A46BF">
            <w:pPr>
              <w:rPr>
                <w:rFonts w:ascii="Arial" w:hAnsi="Arial" w:cs="Arial"/>
                <w:sz w:val="22"/>
                <w:szCs w:val="22"/>
              </w:rPr>
            </w:pPr>
            <w:r>
              <w:rPr>
                <w:rFonts w:ascii="Arial" w:hAnsi="Arial" w:cs="Arial"/>
                <w:sz w:val="22"/>
                <w:szCs w:val="22"/>
              </w:rPr>
              <w:t>Tribunal Operations Balanced Scorecard</w:t>
            </w:r>
          </w:p>
          <w:p w:rsidR="002A46BF" w:rsidRPr="00DC74D8" w:rsidRDefault="002A46BF" w:rsidP="002A46BF">
            <w:pPr>
              <w:rPr>
                <w:rFonts w:ascii="Arial" w:hAnsi="Arial" w:cs="Arial"/>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Basis of calculation</w:t>
            </w:r>
          </w:p>
        </w:tc>
        <w:tc>
          <w:tcPr>
            <w:tcW w:w="3273" w:type="pct"/>
          </w:tcPr>
          <w:p w:rsidR="002A46BF" w:rsidRDefault="002A46BF" w:rsidP="002A46BF">
            <w:pPr>
              <w:rPr>
                <w:rFonts w:ascii="Arial" w:hAnsi="Arial" w:cs="Arial"/>
                <w:sz w:val="22"/>
                <w:szCs w:val="22"/>
              </w:rPr>
            </w:pPr>
            <w:r w:rsidRPr="00DC74D8">
              <w:rPr>
                <w:rFonts w:ascii="Arial" w:hAnsi="Arial" w:cs="Arial"/>
                <w:sz w:val="22"/>
                <w:szCs w:val="22"/>
              </w:rPr>
              <w:t xml:space="preserve">The </w:t>
            </w:r>
            <w:r w:rsidR="005C35E8">
              <w:rPr>
                <w:rFonts w:ascii="Arial" w:hAnsi="Arial" w:cs="Arial"/>
                <w:sz w:val="22"/>
                <w:szCs w:val="22"/>
              </w:rPr>
              <w:t>indicator</w:t>
            </w:r>
            <w:r w:rsidRPr="00DC74D8">
              <w:rPr>
                <w:rFonts w:ascii="Arial" w:hAnsi="Arial" w:cs="Arial"/>
                <w:sz w:val="22"/>
                <w:szCs w:val="22"/>
              </w:rPr>
              <w:t xml:space="preserve"> </w:t>
            </w:r>
            <w:r w:rsidR="005C35E8">
              <w:rPr>
                <w:rFonts w:ascii="Arial" w:hAnsi="Arial" w:cs="Arial"/>
                <w:sz w:val="22"/>
                <w:szCs w:val="22"/>
              </w:rPr>
              <w:t>consists of 1</w:t>
            </w:r>
            <w:r w:rsidR="0047184D">
              <w:rPr>
                <w:rFonts w:ascii="Arial" w:hAnsi="Arial" w:cs="Arial"/>
                <w:sz w:val="22"/>
                <w:szCs w:val="22"/>
              </w:rPr>
              <w:t>4</w:t>
            </w:r>
            <w:r w:rsidR="005C35E8">
              <w:rPr>
                <w:rFonts w:ascii="Arial" w:hAnsi="Arial" w:cs="Arial"/>
                <w:sz w:val="22"/>
                <w:szCs w:val="22"/>
              </w:rPr>
              <w:t xml:space="preserve"> target-based measures – each of which is assessed quarterly.  In each case the target</w:t>
            </w:r>
            <w:r w:rsidR="00BA1F3F">
              <w:rPr>
                <w:rFonts w:ascii="Arial" w:hAnsi="Arial" w:cs="Arial"/>
                <w:sz w:val="22"/>
                <w:szCs w:val="22"/>
              </w:rPr>
              <w:t xml:space="preserve"> will either be met or not.</w:t>
            </w:r>
          </w:p>
          <w:p w:rsidR="002A46BF" w:rsidRPr="00DC74D8" w:rsidRDefault="002A46BF" w:rsidP="002A46BF">
            <w:pPr>
              <w:rPr>
                <w:rFonts w:ascii="Arial" w:hAnsi="Arial" w:cs="Arial"/>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Performance thresholds for Red/Amber/Green</w:t>
            </w:r>
          </w:p>
        </w:tc>
        <w:tc>
          <w:tcPr>
            <w:tcW w:w="3273" w:type="pct"/>
          </w:tcPr>
          <w:p w:rsidR="00BE5AC3" w:rsidRDefault="002A46BF" w:rsidP="00BE5AC3">
            <w:pPr>
              <w:rPr>
                <w:rFonts w:ascii="Arial" w:hAnsi="Arial" w:cs="Arial"/>
                <w:sz w:val="22"/>
                <w:szCs w:val="22"/>
              </w:rPr>
            </w:pPr>
            <w:r w:rsidRPr="00D40E65">
              <w:rPr>
                <w:rFonts w:ascii="Arial" w:hAnsi="Arial" w:cs="Arial"/>
                <w:sz w:val="22"/>
                <w:szCs w:val="22"/>
              </w:rPr>
              <w:t>Red</w:t>
            </w:r>
            <w:r w:rsidR="00BE5AC3">
              <w:rPr>
                <w:rFonts w:ascii="Arial" w:hAnsi="Arial" w:cs="Arial"/>
                <w:sz w:val="22"/>
                <w:szCs w:val="22"/>
              </w:rPr>
              <w:t xml:space="preserve"> </w:t>
            </w:r>
            <w:r w:rsidR="005C35E8">
              <w:rPr>
                <w:rFonts w:ascii="Arial" w:hAnsi="Arial" w:cs="Arial"/>
                <w:sz w:val="22"/>
                <w:szCs w:val="22"/>
              </w:rPr>
              <w:t xml:space="preserve">– Under </w:t>
            </w:r>
            <w:r w:rsidR="0047184D">
              <w:rPr>
                <w:rFonts w:ascii="Arial" w:hAnsi="Arial" w:cs="Arial"/>
                <w:sz w:val="22"/>
                <w:szCs w:val="22"/>
              </w:rPr>
              <w:t>7</w:t>
            </w:r>
            <w:r w:rsidR="005C35E8">
              <w:rPr>
                <w:rFonts w:ascii="Arial" w:hAnsi="Arial" w:cs="Arial"/>
                <w:sz w:val="22"/>
                <w:szCs w:val="22"/>
              </w:rPr>
              <w:t xml:space="preserve"> targets met in the quarter</w:t>
            </w:r>
          </w:p>
          <w:p w:rsidR="00BE5AC3" w:rsidRDefault="00BE5AC3" w:rsidP="00BE5AC3">
            <w:pPr>
              <w:rPr>
                <w:rFonts w:ascii="Arial" w:hAnsi="Arial" w:cs="Arial"/>
                <w:sz w:val="22"/>
                <w:szCs w:val="22"/>
              </w:rPr>
            </w:pPr>
            <w:r>
              <w:rPr>
                <w:rFonts w:ascii="Arial" w:hAnsi="Arial" w:cs="Arial"/>
                <w:sz w:val="22"/>
                <w:szCs w:val="22"/>
              </w:rPr>
              <w:t>Amber</w:t>
            </w:r>
            <w:r w:rsidR="005C35E8">
              <w:rPr>
                <w:rFonts w:ascii="Arial" w:hAnsi="Arial" w:cs="Arial"/>
                <w:sz w:val="22"/>
                <w:szCs w:val="22"/>
              </w:rPr>
              <w:t xml:space="preserve"> – </w:t>
            </w:r>
            <w:r w:rsidR="007A1B78">
              <w:rPr>
                <w:rFonts w:ascii="Arial" w:hAnsi="Arial" w:cs="Arial"/>
                <w:sz w:val="22"/>
                <w:szCs w:val="22"/>
              </w:rPr>
              <w:t>8</w:t>
            </w:r>
            <w:r w:rsidR="005C35E8">
              <w:rPr>
                <w:rFonts w:ascii="Arial" w:hAnsi="Arial" w:cs="Arial"/>
                <w:sz w:val="22"/>
                <w:szCs w:val="22"/>
              </w:rPr>
              <w:t xml:space="preserve"> to </w:t>
            </w:r>
            <w:r w:rsidR="007A1B78">
              <w:rPr>
                <w:rFonts w:ascii="Arial" w:hAnsi="Arial" w:cs="Arial"/>
                <w:sz w:val="22"/>
                <w:szCs w:val="22"/>
              </w:rPr>
              <w:t>10</w:t>
            </w:r>
            <w:r w:rsidR="005C35E8">
              <w:rPr>
                <w:rFonts w:ascii="Arial" w:hAnsi="Arial" w:cs="Arial"/>
                <w:sz w:val="22"/>
                <w:szCs w:val="22"/>
              </w:rPr>
              <w:t xml:space="preserve"> targets met in the quarter</w:t>
            </w:r>
          </w:p>
          <w:p w:rsidR="002A46BF" w:rsidRDefault="002A46BF" w:rsidP="00BE5AC3">
            <w:pPr>
              <w:rPr>
                <w:rFonts w:ascii="Arial" w:hAnsi="Arial" w:cs="Arial"/>
                <w:sz w:val="22"/>
                <w:szCs w:val="22"/>
              </w:rPr>
            </w:pPr>
            <w:r w:rsidRPr="00D40E65">
              <w:rPr>
                <w:rFonts w:ascii="Arial" w:hAnsi="Arial" w:cs="Arial"/>
                <w:sz w:val="22"/>
                <w:szCs w:val="22"/>
              </w:rPr>
              <w:t>Green</w:t>
            </w:r>
            <w:r w:rsidR="00BE5AC3">
              <w:rPr>
                <w:rFonts w:ascii="Arial" w:hAnsi="Arial" w:cs="Arial"/>
                <w:sz w:val="22"/>
                <w:szCs w:val="22"/>
              </w:rPr>
              <w:t xml:space="preserve"> </w:t>
            </w:r>
            <w:r w:rsidR="005C35E8">
              <w:rPr>
                <w:rFonts w:ascii="Arial" w:hAnsi="Arial" w:cs="Arial"/>
                <w:sz w:val="22"/>
                <w:szCs w:val="22"/>
              </w:rPr>
              <w:t>– 1</w:t>
            </w:r>
            <w:r w:rsidR="007A1B78">
              <w:rPr>
                <w:rFonts w:ascii="Arial" w:hAnsi="Arial" w:cs="Arial"/>
                <w:sz w:val="22"/>
                <w:szCs w:val="22"/>
              </w:rPr>
              <w:t>1</w:t>
            </w:r>
            <w:r w:rsidR="005C35E8">
              <w:rPr>
                <w:rFonts w:ascii="Arial" w:hAnsi="Arial" w:cs="Arial"/>
                <w:sz w:val="22"/>
                <w:szCs w:val="22"/>
              </w:rPr>
              <w:t xml:space="preserve"> or more targets met in the quarter</w:t>
            </w:r>
          </w:p>
          <w:p w:rsidR="00BE5AC3" w:rsidRPr="00D40E65" w:rsidRDefault="00BE5AC3" w:rsidP="00BE5AC3">
            <w:pPr>
              <w:rPr>
                <w:rFonts w:ascii="Arial" w:hAnsi="Arial" w:cs="Arial"/>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Frequency of Collection</w:t>
            </w:r>
          </w:p>
        </w:tc>
        <w:tc>
          <w:tcPr>
            <w:tcW w:w="3273" w:type="pct"/>
          </w:tcPr>
          <w:p w:rsidR="002A46BF" w:rsidRDefault="00BE5AC3" w:rsidP="002A46BF">
            <w:pPr>
              <w:rPr>
                <w:rFonts w:ascii="Arial" w:hAnsi="Arial" w:cs="Arial"/>
                <w:sz w:val="22"/>
                <w:szCs w:val="22"/>
              </w:rPr>
            </w:pPr>
            <w:r>
              <w:rPr>
                <w:rFonts w:ascii="Arial" w:hAnsi="Arial" w:cs="Arial"/>
                <w:sz w:val="22"/>
                <w:szCs w:val="22"/>
              </w:rPr>
              <w:t>Quarterly</w:t>
            </w:r>
          </w:p>
          <w:p w:rsidR="009E04B6" w:rsidRPr="00D40E65" w:rsidRDefault="009E04B6" w:rsidP="002A46BF">
            <w:pPr>
              <w:rPr>
                <w:rFonts w:ascii="Arial" w:hAnsi="Arial" w:cs="Arial"/>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 xml:space="preserve">Frequency of Reporting </w:t>
            </w:r>
          </w:p>
        </w:tc>
        <w:tc>
          <w:tcPr>
            <w:tcW w:w="3273" w:type="pct"/>
          </w:tcPr>
          <w:p w:rsidR="002A46BF" w:rsidRDefault="002A46BF" w:rsidP="002A46BF">
            <w:pPr>
              <w:rPr>
                <w:rFonts w:ascii="Arial" w:hAnsi="Arial" w:cs="Arial"/>
                <w:sz w:val="22"/>
                <w:szCs w:val="22"/>
              </w:rPr>
            </w:pPr>
            <w:r w:rsidRPr="00D40E65">
              <w:rPr>
                <w:rFonts w:ascii="Arial" w:hAnsi="Arial" w:cs="Arial"/>
                <w:sz w:val="22"/>
                <w:szCs w:val="22"/>
              </w:rPr>
              <w:t>Quarterly</w:t>
            </w:r>
          </w:p>
          <w:p w:rsidR="009E04B6" w:rsidRPr="00D40E65" w:rsidRDefault="009E04B6" w:rsidP="002A46BF">
            <w:pPr>
              <w:rPr>
                <w:rFonts w:ascii="Arial" w:hAnsi="Arial" w:cs="Arial"/>
                <w:sz w:val="22"/>
                <w:szCs w:val="22"/>
              </w:rPr>
            </w:pPr>
          </w:p>
        </w:tc>
      </w:tr>
      <w:tr w:rsidR="002A46BF" w:rsidRPr="00D40E65" w:rsidTr="007E76EB">
        <w:tc>
          <w:tcPr>
            <w:tcW w:w="1727" w:type="pct"/>
          </w:tcPr>
          <w:p w:rsidR="002A46BF" w:rsidRPr="00D40E65" w:rsidRDefault="002A46BF" w:rsidP="002A46BF">
            <w:pPr>
              <w:rPr>
                <w:rFonts w:ascii="Arial" w:hAnsi="Arial" w:cs="Arial"/>
                <w:sz w:val="22"/>
                <w:szCs w:val="22"/>
              </w:rPr>
            </w:pPr>
            <w:r w:rsidRPr="00D40E65">
              <w:rPr>
                <w:rFonts w:ascii="Arial" w:hAnsi="Arial" w:cs="Arial"/>
                <w:sz w:val="22"/>
                <w:szCs w:val="22"/>
              </w:rPr>
              <w:t>Other Comments</w:t>
            </w:r>
          </w:p>
        </w:tc>
        <w:tc>
          <w:tcPr>
            <w:tcW w:w="3273" w:type="pct"/>
          </w:tcPr>
          <w:p w:rsidR="00BE5AC3" w:rsidRDefault="00BE5AC3" w:rsidP="002A46BF">
            <w:pPr>
              <w:rPr>
                <w:rFonts w:ascii="Arial" w:hAnsi="Arial" w:cs="Arial"/>
                <w:sz w:val="22"/>
                <w:szCs w:val="22"/>
              </w:rPr>
            </w:pPr>
            <w:r>
              <w:rPr>
                <w:rFonts w:ascii="Arial" w:hAnsi="Arial" w:cs="Arial"/>
                <w:sz w:val="22"/>
                <w:szCs w:val="22"/>
              </w:rPr>
              <w:t>New measure added in 2015-16 as a consequence of the merger of the Scottish Court Service and the Scottish Tribunal Service.</w:t>
            </w:r>
          </w:p>
          <w:p w:rsidR="00BE5AC3" w:rsidRDefault="00BE5AC3" w:rsidP="002A46BF">
            <w:pPr>
              <w:rPr>
                <w:rFonts w:ascii="Arial" w:hAnsi="Arial" w:cs="Arial"/>
                <w:sz w:val="22"/>
                <w:szCs w:val="22"/>
              </w:rPr>
            </w:pPr>
          </w:p>
          <w:p w:rsidR="002A46BF" w:rsidRDefault="00BE5AC3" w:rsidP="002A46BF">
            <w:pPr>
              <w:rPr>
                <w:rFonts w:ascii="Arial" w:hAnsi="Arial" w:cs="Arial"/>
                <w:sz w:val="22"/>
                <w:szCs w:val="22"/>
              </w:rPr>
            </w:pPr>
            <w:r>
              <w:rPr>
                <w:rFonts w:ascii="Arial" w:hAnsi="Arial" w:cs="Arial"/>
                <w:sz w:val="22"/>
                <w:szCs w:val="22"/>
              </w:rPr>
              <w:t>Tribunal Operations will review the performance information collected as part of their balanced scorecard and this measure will be revi</w:t>
            </w:r>
            <w:r w:rsidR="00376191">
              <w:rPr>
                <w:rFonts w:ascii="Arial" w:hAnsi="Arial" w:cs="Arial"/>
                <w:sz w:val="22"/>
                <w:szCs w:val="22"/>
              </w:rPr>
              <w:t>ewed towards the end of 2015/16.</w:t>
            </w:r>
          </w:p>
          <w:p w:rsidR="002A46BF" w:rsidRPr="00D40E65" w:rsidRDefault="002A46BF" w:rsidP="002A46BF">
            <w:pPr>
              <w:rPr>
                <w:rFonts w:ascii="Arial" w:hAnsi="Arial" w:cs="Arial"/>
                <w:sz w:val="22"/>
                <w:szCs w:val="22"/>
              </w:rPr>
            </w:pPr>
          </w:p>
        </w:tc>
      </w:tr>
    </w:tbl>
    <w:p w:rsidR="00672521" w:rsidRDefault="00672521" w:rsidP="00ED0E87">
      <w:pPr>
        <w:rPr>
          <w:rFonts w:ascii="Arial" w:hAnsi="Arial" w:cs="Arial"/>
          <w:b/>
          <w:sz w:val="22"/>
          <w:szCs w:val="22"/>
        </w:rPr>
      </w:pPr>
    </w:p>
    <w:p w:rsidR="00707D61" w:rsidRDefault="00707D61">
      <w:pPr>
        <w:rPr>
          <w:rFonts w:ascii="Arial" w:hAnsi="Arial" w:cs="Arial"/>
          <w:b/>
          <w:sz w:val="22"/>
          <w:szCs w:val="22"/>
        </w:rPr>
        <w:sectPr w:rsidR="00707D61" w:rsidSect="00707D61">
          <w:pgSz w:w="11906" w:h="16838"/>
          <w:pgMar w:top="1440" w:right="1797" w:bottom="1440" w:left="1797" w:header="709" w:footer="709" w:gutter="0"/>
          <w:cols w:space="708"/>
          <w:docGrid w:linePitch="360"/>
        </w:sectPr>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4859"/>
        <w:gridCol w:w="2267"/>
      </w:tblGrid>
      <w:tr w:rsidR="00BE5AC3" w:rsidRPr="00336114" w:rsidTr="00707D61">
        <w:tc>
          <w:tcPr>
            <w:tcW w:w="5000" w:type="pct"/>
            <w:gridSpan w:val="3"/>
          </w:tcPr>
          <w:p w:rsidR="00BE5AC3" w:rsidRPr="00336114" w:rsidRDefault="00BE5AC3" w:rsidP="00707D61">
            <w:pPr>
              <w:jc w:val="center"/>
              <w:rPr>
                <w:rFonts w:ascii="Arial" w:hAnsi="Arial" w:cs="Arial"/>
                <w:b/>
                <w:sz w:val="26"/>
                <w:szCs w:val="26"/>
              </w:rPr>
            </w:pPr>
            <w:r w:rsidRPr="00336114">
              <w:rPr>
                <w:rFonts w:ascii="Arial" w:hAnsi="Arial" w:cs="Arial"/>
                <w:b/>
                <w:sz w:val="26"/>
                <w:szCs w:val="26"/>
              </w:rPr>
              <w:lastRenderedPageBreak/>
              <w:t xml:space="preserve">There are </w:t>
            </w:r>
            <w:r w:rsidR="003B1CE5" w:rsidRPr="00336114">
              <w:rPr>
                <w:rFonts w:ascii="Arial" w:hAnsi="Arial" w:cs="Arial"/>
                <w:b/>
                <w:sz w:val="26"/>
                <w:szCs w:val="26"/>
              </w:rPr>
              <w:t>fourteen</w:t>
            </w:r>
            <w:r w:rsidRPr="00336114">
              <w:rPr>
                <w:rFonts w:ascii="Arial" w:hAnsi="Arial" w:cs="Arial"/>
                <w:b/>
                <w:sz w:val="26"/>
                <w:szCs w:val="26"/>
              </w:rPr>
              <w:t xml:space="preserve"> sub measures within Measure 5(</w:t>
            </w:r>
            <w:r w:rsidR="00FB4A0E" w:rsidRPr="00336114">
              <w:rPr>
                <w:rFonts w:ascii="Arial" w:hAnsi="Arial" w:cs="Arial"/>
                <w:b/>
                <w:sz w:val="26"/>
                <w:szCs w:val="26"/>
              </w:rPr>
              <w:t>e</w:t>
            </w:r>
            <w:r w:rsidRPr="00336114">
              <w:rPr>
                <w:rFonts w:ascii="Arial" w:hAnsi="Arial" w:cs="Arial"/>
                <w:b/>
                <w:sz w:val="26"/>
                <w:szCs w:val="26"/>
              </w:rPr>
              <w:t>)</w:t>
            </w:r>
          </w:p>
          <w:p w:rsidR="00936AD5" w:rsidRPr="00707D61" w:rsidRDefault="00936AD5" w:rsidP="00BE5AC3">
            <w:pPr>
              <w:rPr>
                <w:rFonts w:ascii="Arial" w:hAnsi="Arial" w:cs="Arial"/>
                <w:b/>
                <w:sz w:val="10"/>
                <w:szCs w:val="10"/>
              </w:rPr>
            </w:pPr>
          </w:p>
        </w:tc>
      </w:tr>
      <w:tr w:rsidR="00BE5AC3" w:rsidRPr="00D40E65" w:rsidTr="00707D61">
        <w:tc>
          <w:tcPr>
            <w:tcW w:w="1178" w:type="pct"/>
          </w:tcPr>
          <w:p w:rsidR="00BE5AC3" w:rsidRPr="00D40E65" w:rsidRDefault="00936AD5" w:rsidP="009B505C">
            <w:pPr>
              <w:jc w:val="center"/>
              <w:rPr>
                <w:rFonts w:ascii="Arial" w:hAnsi="Arial" w:cs="Arial"/>
                <w:b/>
                <w:sz w:val="22"/>
                <w:szCs w:val="22"/>
              </w:rPr>
            </w:pPr>
            <w:r>
              <w:rPr>
                <w:rFonts w:ascii="Arial" w:hAnsi="Arial" w:cs="Arial"/>
                <w:b/>
                <w:sz w:val="22"/>
                <w:szCs w:val="22"/>
              </w:rPr>
              <w:t>Measure</w:t>
            </w:r>
          </w:p>
        </w:tc>
        <w:tc>
          <w:tcPr>
            <w:tcW w:w="2606" w:type="pct"/>
            <w:shd w:val="clear" w:color="auto" w:fill="auto"/>
          </w:tcPr>
          <w:p w:rsidR="00BE5AC3" w:rsidRPr="00D40E65" w:rsidRDefault="00BE5AC3" w:rsidP="009B505C">
            <w:pPr>
              <w:jc w:val="center"/>
              <w:rPr>
                <w:rFonts w:ascii="Arial" w:hAnsi="Arial" w:cs="Arial"/>
                <w:b/>
                <w:sz w:val="22"/>
                <w:szCs w:val="22"/>
              </w:rPr>
            </w:pPr>
            <w:r>
              <w:rPr>
                <w:rFonts w:ascii="Arial" w:hAnsi="Arial" w:cs="Arial"/>
                <w:b/>
                <w:sz w:val="22"/>
                <w:szCs w:val="22"/>
              </w:rPr>
              <w:t>Target</w:t>
            </w:r>
          </w:p>
        </w:tc>
        <w:tc>
          <w:tcPr>
            <w:tcW w:w="1216" w:type="pct"/>
            <w:shd w:val="clear" w:color="auto" w:fill="auto"/>
          </w:tcPr>
          <w:p w:rsidR="00BE5AC3" w:rsidRDefault="00BE5AC3" w:rsidP="009B505C">
            <w:pPr>
              <w:jc w:val="center"/>
              <w:rPr>
                <w:rFonts w:ascii="Arial" w:hAnsi="Arial" w:cs="Arial"/>
                <w:b/>
                <w:sz w:val="22"/>
                <w:szCs w:val="22"/>
              </w:rPr>
            </w:pPr>
            <w:r w:rsidRPr="00D40E65">
              <w:rPr>
                <w:rFonts w:ascii="Arial" w:hAnsi="Arial" w:cs="Arial"/>
                <w:b/>
                <w:sz w:val="22"/>
                <w:szCs w:val="22"/>
              </w:rPr>
              <w:t>Comment</w:t>
            </w:r>
          </w:p>
          <w:p w:rsidR="009B505C" w:rsidRPr="00ED2BC8" w:rsidRDefault="009B505C" w:rsidP="009B505C">
            <w:pPr>
              <w:jc w:val="center"/>
              <w:rPr>
                <w:rFonts w:ascii="Arial" w:hAnsi="Arial" w:cs="Arial"/>
                <w:b/>
                <w:sz w:val="12"/>
                <w:szCs w:val="12"/>
              </w:rPr>
            </w:pPr>
          </w:p>
        </w:tc>
      </w:tr>
      <w:tr w:rsidR="00BE5AC3" w:rsidRPr="00D40E65" w:rsidTr="00707D61">
        <w:tc>
          <w:tcPr>
            <w:tcW w:w="1178" w:type="pct"/>
          </w:tcPr>
          <w:p w:rsidR="00BE5AC3" w:rsidRPr="00D40E65" w:rsidRDefault="00486A73" w:rsidP="00486A73">
            <w:pPr>
              <w:rPr>
                <w:rFonts w:ascii="Arial" w:hAnsi="Arial" w:cs="Arial"/>
                <w:sz w:val="22"/>
                <w:szCs w:val="22"/>
              </w:rPr>
            </w:pPr>
            <w:r>
              <w:rPr>
                <w:rFonts w:ascii="Arial" w:hAnsi="Arial" w:cs="Arial"/>
                <w:sz w:val="22"/>
                <w:szCs w:val="22"/>
              </w:rPr>
              <w:t xml:space="preserve">1. Mental Health Tribunal for Scotland </w:t>
            </w:r>
            <w:r w:rsidR="00483B37" w:rsidRPr="00483B37">
              <w:rPr>
                <w:rFonts w:ascii="Arial" w:hAnsi="Arial" w:cs="Arial"/>
                <w:sz w:val="22"/>
                <w:szCs w:val="22"/>
              </w:rPr>
              <w:t>1</w:t>
            </w:r>
          </w:p>
        </w:tc>
        <w:tc>
          <w:tcPr>
            <w:tcW w:w="2606" w:type="pct"/>
            <w:shd w:val="clear" w:color="auto" w:fill="auto"/>
          </w:tcPr>
          <w:p w:rsidR="00BE5AC3" w:rsidRDefault="00486A73" w:rsidP="00BE5AC3">
            <w:pPr>
              <w:rPr>
                <w:rFonts w:ascii="Arial" w:hAnsi="Arial" w:cs="Arial"/>
                <w:sz w:val="22"/>
                <w:szCs w:val="22"/>
              </w:rPr>
            </w:pPr>
            <w:r w:rsidRPr="00483B37">
              <w:rPr>
                <w:rFonts w:ascii="Arial" w:hAnsi="Arial" w:cs="Arial"/>
                <w:sz w:val="22"/>
                <w:szCs w:val="22"/>
              </w:rPr>
              <w:t>100% of hearings to determine applications for C</w:t>
            </w:r>
            <w:r>
              <w:rPr>
                <w:rFonts w:ascii="Arial" w:hAnsi="Arial" w:cs="Arial"/>
                <w:sz w:val="22"/>
                <w:szCs w:val="22"/>
              </w:rPr>
              <w:t xml:space="preserve">ompulsory </w:t>
            </w:r>
            <w:r w:rsidRPr="00483B37">
              <w:rPr>
                <w:rFonts w:ascii="Arial" w:hAnsi="Arial" w:cs="Arial"/>
                <w:sz w:val="22"/>
                <w:szCs w:val="22"/>
              </w:rPr>
              <w:t>T</w:t>
            </w:r>
            <w:r>
              <w:rPr>
                <w:rFonts w:ascii="Arial" w:hAnsi="Arial" w:cs="Arial"/>
                <w:sz w:val="22"/>
                <w:szCs w:val="22"/>
              </w:rPr>
              <w:t xml:space="preserve">reatment </w:t>
            </w:r>
            <w:r w:rsidRPr="00483B37">
              <w:rPr>
                <w:rFonts w:ascii="Arial" w:hAnsi="Arial" w:cs="Arial"/>
                <w:sz w:val="22"/>
                <w:szCs w:val="22"/>
              </w:rPr>
              <w:t>O</w:t>
            </w:r>
            <w:r>
              <w:rPr>
                <w:rFonts w:ascii="Arial" w:hAnsi="Arial" w:cs="Arial"/>
                <w:sz w:val="22"/>
                <w:szCs w:val="22"/>
              </w:rPr>
              <w:t>rder</w:t>
            </w:r>
            <w:r w:rsidRPr="00483B37">
              <w:rPr>
                <w:rFonts w:ascii="Arial" w:hAnsi="Arial" w:cs="Arial"/>
                <w:sz w:val="22"/>
                <w:szCs w:val="22"/>
              </w:rPr>
              <w:t>s to take place within statutory time limits.</w:t>
            </w:r>
          </w:p>
          <w:p w:rsidR="00707D61" w:rsidRPr="00707D61" w:rsidRDefault="00707D61" w:rsidP="00BE5AC3">
            <w:pPr>
              <w:rPr>
                <w:rFonts w:ascii="Arial" w:hAnsi="Arial" w:cs="Arial"/>
                <w:sz w:val="14"/>
                <w:szCs w:val="14"/>
              </w:rPr>
            </w:pPr>
          </w:p>
        </w:tc>
        <w:tc>
          <w:tcPr>
            <w:tcW w:w="1216" w:type="pct"/>
            <w:shd w:val="clear" w:color="auto" w:fill="auto"/>
          </w:tcPr>
          <w:p w:rsidR="001B4601" w:rsidRPr="00DC74D8" w:rsidRDefault="009B505C" w:rsidP="00BE5AC3">
            <w:pPr>
              <w:rPr>
                <w:rFonts w:ascii="Arial" w:hAnsi="Arial" w:cs="Arial"/>
                <w:sz w:val="22"/>
                <w:szCs w:val="22"/>
              </w:rPr>
            </w:pPr>
            <w:r>
              <w:rPr>
                <w:rFonts w:ascii="Arial" w:hAnsi="Arial" w:cs="Arial"/>
                <w:sz w:val="22"/>
                <w:szCs w:val="22"/>
              </w:rPr>
              <w:t>High priority function of the tribunal</w:t>
            </w:r>
          </w:p>
        </w:tc>
      </w:tr>
      <w:tr w:rsidR="00BE5AC3" w:rsidRPr="00D40E65" w:rsidTr="00707D61">
        <w:tc>
          <w:tcPr>
            <w:tcW w:w="1178" w:type="pct"/>
          </w:tcPr>
          <w:p w:rsidR="00BE5AC3" w:rsidRDefault="00486A73" w:rsidP="00486A73">
            <w:pPr>
              <w:rPr>
                <w:rFonts w:ascii="Arial" w:hAnsi="Arial" w:cs="Arial"/>
                <w:sz w:val="22"/>
                <w:szCs w:val="22"/>
              </w:rPr>
            </w:pPr>
            <w:r>
              <w:rPr>
                <w:rFonts w:ascii="Arial" w:hAnsi="Arial" w:cs="Arial"/>
                <w:sz w:val="22"/>
                <w:szCs w:val="22"/>
              </w:rPr>
              <w:t xml:space="preserve">2. Mental Health Tribunal for Scotland </w:t>
            </w:r>
            <w:r w:rsidR="00483B37" w:rsidRPr="00483B37">
              <w:rPr>
                <w:rFonts w:ascii="Arial" w:hAnsi="Arial" w:cs="Arial"/>
                <w:sz w:val="22"/>
                <w:szCs w:val="22"/>
              </w:rPr>
              <w:t>2</w:t>
            </w:r>
          </w:p>
          <w:p w:rsidR="009B505C" w:rsidRPr="00336114" w:rsidRDefault="009B505C" w:rsidP="00486A73">
            <w:pPr>
              <w:rPr>
                <w:rFonts w:ascii="Arial" w:hAnsi="Arial" w:cs="Arial"/>
                <w:sz w:val="16"/>
                <w:szCs w:val="16"/>
              </w:rPr>
            </w:pPr>
          </w:p>
        </w:tc>
        <w:tc>
          <w:tcPr>
            <w:tcW w:w="2606" w:type="pct"/>
            <w:shd w:val="clear" w:color="auto" w:fill="auto"/>
          </w:tcPr>
          <w:p w:rsidR="00BE5AC3" w:rsidRPr="00D40E65" w:rsidRDefault="00486A73" w:rsidP="009B505C">
            <w:pPr>
              <w:rPr>
                <w:rFonts w:ascii="Arial" w:hAnsi="Arial" w:cs="Arial"/>
                <w:sz w:val="22"/>
                <w:szCs w:val="22"/>
              </w:rPr>
            </w:pPr>
            <w:r w:rsidRPr="00483B37">
              <w:rPr>
                <w:rFonts w:ascii="Arial" w:hAnsi="Arial" w:cs="Arial"/>
                <w:sz w:val="22"/>
                <w:szCs w:val="22"/>
              </w:rPr>
              <w:t xml:space="preserve">Tribunal Panel to hear multiple cases </w:t>
            </w:r>
            <w:r w:rsidR="009B505C">
              <w:rPr>
                <w:rFonts w:ascii="Arial" w:hAnsi="Arial" w:cs="Arial"/>
                <w:sz w:val="22"/>
                <w:szCs w:val="22"/>
              </w:rPr>
              <w:t>at least 50% of the time</w:t>
            </w:r>
            <w:r w:rsidRPr="00483B37">
              <w:rPr>
                <w:rFonts w:ascii="Arial" w:hAnsi="Arial" w:cs="Arial"/>
                <w:sz w:val="22"/>
                <w:szCs w:val="22"/>
              </w:rPr>
              <w:t>.</w:t>
            </w:r>
          </w:p>
        </w:tc>
        <w:tc>
          <w:tcPr>
            <w:tcW w:w="1216" w:type="pct"/>
            <w:shd w:val="clear" w:color="auto" w:fill="auto"/>
          </w:tcPr>
          <w:p w:rsidR="00BE5AC3" w:rsidRPr="00DC74D8" w:rsidRDefault="009B505C" w:rsidP="00BE5AC3">
            <w:pPr>
              <w:rPr>
                <w:rFonts w:ascii="Arial" w:hAnsi="Arial" w:cs="Arial"/>
                <w:sz w:val="22"/>
                <w:szCs w:val="22"/>
              </w:rPr>
            </w:pPr>
            <w:r>
              <w:rPr>
                <w:rFonts w:ascii="Arial" w:hAnsi="Arial" w:cs="Arial"/>
                <w:sz w:val="22"/>
                <w:szCs w:val="22"/>
              </w:rPr>
              <w:t>To make best use of panel resources</w:t>
            </w:r>
          </w:p>
        </w:tc>
      </w:tr>
      <w:tr w:rsidR="00BE5AC3" w:rsidRPr="00D40E65" w:rsidTr="00707D61">
        <w:tc>
          <w:tcPr>
            <w:tcW w:w="1178" w:type="pct"/>
          </w:tcPr>
          <w:p w:rsidR="00BE5AC3" w:rsidRPr="00D40E65" w:rsidRDefault="00486A73" w:rsidP="00486A73">
            <w:pPr>
              <w:rPr>
                <w:rFonts w:ascii="Arial" w:hAnsi="Arial" w:cs="Arial"/>
                <w:sz w:val="22"/>
                <w:szCs w:val="22"/>
              </w:rPr>
            </w:pPr>
            <w:r>
              <w:rPr>
                <w:rFonts w:ascii="Arial" w:hAnsi="Arial" w:cs="Arial"/>
                <w:sz w:val="22"/>
                <w:szCs w:val="22"/>
              </w:rPr>
              <w:t xml:space="preserve">3. Mental Health Tribunal for Scotland </w:t>
            </w:r>
            <w:r w:rsidR="00483B37" w:rsidRPr="00483B37">
              <w:rPr>
                <w:rFonts w:ascii="Arial" w:hAnsi="Arial" w:cs="Arial"/>
                <w:sz w:val="22"/>
                <w:szCs w:val="22"/>
              </w:rPr>
              <w:t>3</w:t>
            </w:r>
            <w:r w:rsidR="00483B37" w:rsidRPr="00483B37">
              <w:rPr>
                <w:rFonts w:ascii="Arial" w:hAnsi="Arial" w:cs="Arial"/>
                <w:sz w:val="22"/>
                <w:szCs w:val="22"/>
              </w:rPr>
              <w:tab/>
            </w:r>
          </w:p>
        </w:tc>
        <w:tc>
          <w:tcPr>
            <w:tcW w:w="2606" w:type="pct"/>
            <w:shd w:val="clear" w:color="auto" w:fill="auto"/>
          </w:tcPr>
          <w:p w:rsidR="00BE5AC3" w:rsidRPr="00D40E65" w:rsidRDefault="00486A73" w:rsidP="00BE5AC3">
            <w:pPr>
              <w:rPr>
                <w:rFonts w:ascii="Arial" w:hAnsi="Arial" w:cs="Arial"/>
                <w:sz w:val="22"/>
                <w:szCs w:val="22"/>
              </w:rPr>
            </w:pPr>
            <w:r w:rsidRPr="00483B37">
              <w:rPr>
                <w:rFonts w:ascii="Arial" w:hAnsi="Arial" w:cs="Arial"/>
                <w:sz w:val="22"/>
                <w:szCs w:val="22"/>
              </w:rPr>
              <w:t>Casework checked by the quality assurance team will exceed an error free rate of 93%</w:t>
            </w:r>
          </w:p>
        </w:tc>
        <w:tc>
          <w:tcPr>
            <w:tcW w:w="1216" w:type="pct"/>
            <w:shd w:val="clear" w:color="auto" w:fill="auto"/>
          </w:tcPr>
          <w:p w:rsidR="00BE5AC3" w:rsidRDefault="00336114" w:rsidP="00BE5AC3">
            <w:pPr>
              <w:rPr>
                <w:rFonts w:ascii="Arial" w:hAnsi="Arial" w:cs="Arial"/>
                <w:sz w:val="22"/>
                <w:szCs w:val="22"/>
              </w:rPr>
            </w:pPr>
            <w:r>
              <w:rPr>
                <w:rFonts w:ascii="Arial" w:hAnsi="Arial" w:cs="Arial"/>
                <w:sz w:val="22"/>
                <w:szCs w:val="22"/>
              </w:rPr>
              <w:t>M</w:t>
            </w:r>
            <w:r w:rsidR="009B505C">
              <w:rPr>
                <w:rFonts w:ascii="Arial" w:hAnsi="Arial" w:cs="Arial"/>
                <w:sz w:val="22"/>
                <w:szCs w:val="22"/>
              </w:rPr>
              <w:t>ost errors are not material – but desire to avoid.</w:t>
            </w:r>
          </w:p>
          <w:p w:rsidR="009B505C" w:rsidRPr="00336114" w:rsidRDefault="009B505C" w:rsidP="00BE5AC3">
            <w:pPr>
              <w:rPr>
                <w:rFonts w:ascii="Arial" w:hAnsi="Arial" w:cs="Arial"/>
                <w:sz w:val="16"/>
                <w:szCs w:val="16"/>
              </w:rPr>
            </w:pPr>
          </w:p>
        </w:tc>
      </w:tr>
      <w:tr w:rsidR="00BE5AC3" w:rsidRPr="00D40E65" w:rsidTr="00707D61">
        <w:tc>
          <w:tcPr>
            <w:tcW w:w="1178" w:type="pct"/>
          </w:tcPr>
          <w:p w:rsidR="00BE5AC3" w:rsidRPr="00D40E65" w:rsidRDefault="002C3DC2" w:rsidP="002C3DC2">
            <w:pPr>
              <w:rPr>
                <w:rFonts w:ascii="Arial" w:hAnsi="Arial" w:cs="Arial"/>
                <w:sz w:val="22"/>
                <w:szCs w:val="22"/>
              </w:rPr>
            </w:pPr>
            <w:r>
              <w:rPr>
                <w:rFonts w:ascii="Arial" w:hAnsi="Arial" w:cs="Arial"/>
                <w:sz w:val="22"/>
                <w:szCs w:val="22"/>
              </w:rPr>
              <w:t xml:space="preserve">4. Pension Appeals Tribunal 1 </w:t>
            </w:r>
          </w:p>
        </w:tc>
        <w:tc>
          <w:tcPr>
            <w:tcW w:w="2606" w:type="pct"/>
            <w:shd w:val="clear" w:color="auto" w:fill="auto"/>
          </w:tcPr>
          <w:p w:rsidR="00BE5AC3" w:rsidRDefault="002C3DC2" w:rsidP="00BE5AC3">
            <w:pPr>
              <w:rPr>
                <w:rFonts w:ascii="Arial" w:hAnsi="Arial" w:cs="Arial"/>
                <w:sz w:val="22"/>
                <w:szCs w:val="22"/>
              </w:rPr>
            </w:pPr>
            <w:r w:rsidRPr="00483B37">
              <w:rPr>
                <w:rFonts w:ascii="Arial" w:hAnsi="Arial" w:cs="Arial"/>
                <w:sz w:val="22"/>
                <w:szCs w:val="22"/>
              </w:rPr>
              <w:t xml:space="preserve">To issue </w:t>
            </w:r>
            <w:r w:rsidR="00434DDF">
              <w:rPr>
                <w:rFonts w:ascii="Arial" w:hAnsi="Arial" w:cs="Arial"/>
                <w:sz w:val="22"/>
                <w:szCs w:val="22"/>
              </w:rPr>
              <w:t>at least 98</w:t>
            </w:r>
            <w:r>
              <w:rPr>
                <w:rFonts w:ascii="Arial" w:hAnsi="Arial" w:cs="Arial"/>
                <w:sz w:val="22"/>
                <w:szCs w:val="22"/>
              </w:rPr>
              <w:t xml:space="preserve">% of </w:t>
            </w:r>
            <w:r w:rsidRPr="00483B37">
              <w:rPr>
                <w:rFonts w:ascii="Arial" w:hAnsi="Arial" w:cs="Arial"/>
                <w:sz w:val="22"/>
                <w:szCs w:val="22"/>
              </w:rPr>
              <w:t>decisions to parties within 3 days of receipt of the signed decision from the Chairman.</w:t>
            </w:r>
          </w:p>
          <w:p w:rsidR="002C3DC2" w:rsidRPr="00D40E65" w:rsidRDefault="002C3DC2" w:rsidP="00BE5AC3">
            <w:pPr>
              <w:rPr>
                <w:rFonts w:ascii="Arial" w:hAnsi="Arial" w:cs="Arial"/>
                <w:sz w:val="22"/>
                <w:szCs w:val="22"/>
              </w:rPr>
            </w:pPr>
          </w:p>
        </w:tc>
        <w:tc>
          <w:tcPr>
            <w:tcW w:w="1216" w:type="pct"/>
            <w:shd w:val="clear" w:color="auto" w:fill="auto"/>
          </w:tcPr>
          <w:p w:rsidR="00BE5AC3" w:rsidRPr="00D40E65" w:rsidRDefault="002C3DC2" w:rsidP="00BE5AC3">
            <w:pPr>
              <w:rPr>
                <w:rFonts w:ascii="Arial" w:hAnsi="Arial" w:cs="Arial"/>
                <w:sz w:val="22"/>
                <w:szCs w:val="22"/>
              </w:rPr>
            </w:pPr>
            <w:r>
              <w:rPr>
                <w:rFonts w:ascii="Arial" w:hAnsi="Arial" w:cs="Arial"/>
                <w:sz w:val="22"/>
                <w:szCs w:val="22"/>
              </w:rPr>
              <w:t>Ensures timeous conclusion of business</w:t>
            </w:r>
          </w:p>
        </w:tc>
      </w:tr>
      <w:tr w:rsidR="00BE5AC3" w:rsidRPr="00D40E65" w:rsidTr="00707D61">
        <w:tc>
          <w:tcPr>
            <w:tcW w:w="1178" w:type="pct"/>
          </w:tcPr>
          <w:p w:rsidR="00BE5AC3" w:rsidRPr="00D40E65" w:rsidRDefault="00336114" w:rsidP="002C3DC2">
            <w:pPr>
              <w:rPr>
                <w:rFonts w:ascii="Arial" w:hAnsi="Arial" w:cs="Arial"/>
                <w:sz w:val="22"/>
                <w:szCs w:val="22"/>
              </w:rPr>
            </w:pPr>
            <w:r>
              <w:rPr>
                <w:rFonts w:ascii="Arial" w:hAnsi="Arial" w:cs="Arial"/>
                <w:sz w:val="22"/>
                <w:szCs w:val="22"/>
              </w:rPr>
              <w:t>5. Pension Appeals Tribunal 2</w:t>
            </w:r>
            <w:r w:rsidR="002C3DC2">
              <w:rPr>
                <w:rFonts w:ascii="Arial" w:hAnsi="Arial" w:cs="Arial"/>
                <w:sz w:val="22"/>
                <w:szCs w:val="22"/>
              </w:rPr>
              <w:t xml:space="preserve"> </w:t>
            </w:r>
          </w:p>
        </w:tc>
        <w:tc>
          <w:tcPr>
            <w:tcW w:w="2606" w:type="pct"/>
            <w:shd w:val="clear" w:color="auto" w:fill="auto"/>
          </w:tcPr>
          <w:p w:rsidR="00BE5AC3" w:rsidRDefault="002C3DC2" w:rsidP="00BE5AC3">
            <w:pPr>
              <w:rPr>
                <w:rFonts w:ascii="Arial" w:hAnsi="Arial" w:cs="Arial"/>
                <w:sz w:val="22"/>
                <w:szCs w:val="22"/>
              </w:rPr>
            </w:pPr>
            <w:r w:rsidRPr="00483B37">
              <w:rPr>
                <w:rFonts w:ascii="Arial" w:hAnsi="Arial" w:cs="Arial"/>
                <w:sz w:val="22"/>
                <w:szCs w:val="22"/>
              </w:rPr>
              <w:t xml:space="preserve">To list </w:t>
            </w:r>
            <w:r w:rsidR="00434DDF">
              <w:rPr>
                <w:rFonts w:ascii="Arial" w:hAnsi="Arial" w:cs="Arial"/>
                <w:sz w:val="22"/>
                <w:szCs w:val="22"/>
              </w:rPr>
              <w:t>at least 98% of</w:t>
            </w:r>
            <w:r w:rsidRPr="00483B37">
              <w:rPr>
                <w:rFonts w:ascii="Arial" w:hAnsi="Arial" w:cs="Arial"/>
                <w:sz w:val="22"/>
                <w:szCs w:val="22"/>
              </w:rPr>
              <w:t xml:space="preserve"> case</w:t>
            </w:r>
            <w:r w:rsidR="00434DDF">
              <w:rPr>
                <w:rFonts w:ascii="Arial" w:hAnsi="Arial" w:cs="Arial"/>
                <w:sz w:val="22"/>
                <w:szCs w:val="22"/>
              </w:rPr>
              <w:t>s</w:t>
            </w:r>
            <w:r w:rsidRPr="00483B37">
              <w:rPr>
                <w:rFonts w:ascii="Arial" w:hAnsi="Arial" w:cs="Arial"/>
                <w:sz w:val="22"/>
                <w:szCs w:val="22"/>
              </w:rPr>
              <w:t xml:space="preserve"> </w:t>
            </w:r>
            <w:r w:rsidR="00434DDF" w:rsidRPr="00483B37">
              <w:rPr>
                <w:rFonts w:ascii="Arial" w:hAnsi="Arial" w:cs="Arial"/>
                <w:sz w:val="22"/>
                <w:szCs w:val="22"/>
              </w:rPr>
              <w:t xml:space="preserve">for hearing </w:t>
            </w:r>
            <w:r w:rsidRPr="00483B37">
              <w:rPr>
                <w:rFonts w:ascii="Arial" w:hAnsi="Arial" w:cs="Arial"/>
                <w:sz w:val="22"/>
                <w:szCs w:val="22"/>
              </w:rPr>
              <w:t>within 3 months of receipt of full papers from the Veterans' Agency</w:t>
            </w:r>
          </w:p>
          <w:p w:rsidR="002C3DC2" w:rsidRPr="00336114" w:rsidRDefault="002C3DC2" w:rsidP="00BE5AC3">
            <w:pPr>
              <w:rPr>
                <w:rFonts w:ascii="Arial" w:hAnsi="Arial" w:cs="Arial"/>
                <w:sz w:val="16"/>
                <w:szCs w:val="16"/>
              </w:rPr>
            </w:pPr>
          </w:p>
        </w:tc>
        <w:tc>
          <w:tcPr>
            <w:tcW w:w="1216" w:type="pct"/>
            <w:shd w:val="clear" w:color="auto" w:fill="auto"/>
          </w:tcPr>
          <w:p w:rsidR="00BE5AC3" w:rsidRPr="00D40E65" w:rsidRDefault="002C3DC2" w:rsidP="00BE5AC3">
            <w:pPr>
              <w:rPr>
                <w:rFonts w:ascii="Arial" w:hAnsi="Arial" w:cs="Arial"/>
                <w:sz w:val="22"/>
                <w:szCs w:val="22"/>
              </w:rPr>
            </w:pPr>
            <w:r>
              <w:rPr>
                <w:rFonts w:ascii="Arial" w:hAnsi="Arial" w:cs="Arial"/>
                <w:sz w:val="22"/>
                <w:szCs w:val="22"/>
              </w:rPr>
              <w:t xml:space="preserve">To ensure </w:t>
            </w:r>
            <w:r w:rsidR="00691A96">
              <w:rPr>
                <w:rFonts w:ascii="Arial" w:hAnsi="Arial" w:cs="Arial"/>
                <w:sz w:val="22"/>
                <w:szCs w:val="22"/>
              </w:rPr>
              <w:t>waiting periods for decisions are not excessive.</w:t>
            </w:r>
          </w:p>
        </w:tc>
      </w:tr>
      <w:tr w:rsidR="00BE5AC3" w:rsidRPr="00D40E65" w:rsidTr="00707D61">
        <w:tc>
          <w:tcPr>
            <w:tcW w:w="1178" w:type="pct"/>
          </w:tcPr>
          <w:p w:rsidR="00691A96" w:rsidRDefault="00691A96" w:rsidP="00BE5AC3">
            <w:pPr>
              <w:rPr>
                <w:rFonts w:ascii="Arial" w:hAnsi="Arial" w:cs="Arial"/>
                <w:sz w:val="22"/>
                <w:szCs w:val="22"/>
              </w:rPr>
            </w:pPr>
            <w:r>
              <w:rPr>
                <w:rFonts w:ascii="Arial" w:hAnsi="Arial" w:cs="Arial"/>
                <w:sz w:val="22"/>
                <w:szCs w:val="22"/>
              </w:rPr>
              <w:t>6. Lands Tribunal for Scotland 1</w:t>
            </w:r>
          </w:p>
          <w:p w:rsidR="00BE5AC3" w:rsidRPr="00D40E65" w:rsidRDefault="00BE5AC3" w:rsidP="00BE5AC3">
            <w:pPr>
              <w:rPr>
                <w:rFonts w:ascii="Arial" w:hAnsi="Arial" w:cs="Arial"/>
                <w:sz w:val="22"/>
                <w:szCs w:val="22"/>
              </w:rPr>
            </w:pPr>
          </w:p>
        </w:tc>
        <w:tc>
          <w:tcPr>
            <w:tcW w:w="2606" w:type="pct"/>
            <w:shd w:val="clear" w:color="auto" w:fill="auto"/>
          </w:tcPr>
          <w:p w:rsidR="00BE5AC3" w:rsidRDefault="00691A96" w:rsidP="00BE5AC3">
            <w:pPr>
              <w:rPr>
                <w:rFonts w:ascii="Arial" w:hAnsi="Arial" w:cs="Arial"/>
                <w:sz w:val="22"/>
                <w:szCs w:val="22"/>
              </w:rPr>
            </w:pPr>
            <w:r w:rsidRPr="00483B37">
              <w:rPr>
                <w:rFonts w:ascii="Arial" w:hAnsi="Arial" w:cs="Arial"/>
                <w:sz w:val="22"/>
                <w:szCs w:val="22"/>
              </w:rPr>
              <w:t xml:space="preserve">To issue </w:t>
            </w:r>
            <w:r w:rsidR="00434DDF">
              <w:rPr>
                <w:rFonts w:ascii="Arial" w:hAnsi="Arial" w:cs="Arial"/>
                <w:sz w:val="22"/>
                <w:szCs w:val="22"/>
              </w:rPr>
              <w:t xml:space="preserve">at least 95% of </w:t>
            </w:r>
            <w:r w:rsidRPr="00483B37">
              <w:rPr>
                <w:rFonts w:ascii="Arial" w:hAnsi="Arial" w:cs="Arial"/>
                <w:sz w:val="22"/>
                <w:szCs w:val="22"/>
              </w:rPr>
              <w:t>decisions to parties within 8 working days of the clerk receiving the Opinion from the Tribunal.</w:t>
            </w:r>
          </w:p>
          <w:p w:rsidR="00336114" w:rsidRPr="00336114" w:rsidRDefault="00336114" w:rsidP="00BE5AC3">
            <w:pPr>
              <w:rPr>
                <w:rFonts w:ascii="Arial" w:hAnsi="Arial" w:cs="Arial"/>
                <w:sz w:val="16"/>
                <w:szCs w:val="16"/>
              </w:rPr>
            </w:pPr>
          </w:p>
        </w:tc>
        <w:tc>
          <w:tcPr>
            <w:tcW w:w="1216" w:type="pct"/>
            <w:shd w:val="clear" w:color="auto" w:fill="auto"/>
          </w:tcPr>
          <w:p w:rsidR="00BE5AC3" w:rsidRDefault="00A056B1" w:rsidP="00BE5AC3">
            <w:pPr>
              <w:rPr>
                <w:rFonts w:ascii="Arial" w:hAnsi="Arial" w:cs="Arial"/>
                <w:sz w:val="22"/>
                <w:szCs w:val="22"/>
              </w:rPr>
            </w:pPr>
            <w:r>
              <w:rPr>
                <w:rFonts w:ascii="Arial" w:hAnsi="Arial" w:cs="Arial"/>
                <w:sz w:val="22"/>
                <w:szCs w:val="22"/>
              </w:rPr>
              <w:t>Ensures timeous conclusion of business</w:t>
            </w:r>
          </w:p>
          <w:p w:rsidR="00A056B1" w:rsidRPr="00D40E65" w:rsidRDefault="00A056B1" w:rsidP="00BE5AC3">
            <w:pPr>
              <w:rPr>
                <w:rFonts w:ascii="Arial" w:hAnsi="Arial" w:cs="Arial"/>
                <w:sz w:val="22"/>
                <w:szCs w:val="22"/>
              </w:rPr>
            </w:pPr>
          </w:p>
        </w:tc>
      </w:tr>
      <w:tr w:rsidR="00BE5AC3" w:rsidRPr="00D40E65" w:rsidTr="00707D61">
        <w:tc>
          <w:tcPr>
            <w:tcW w:w="1178" w:type="pct"/>
          </w:tcPr>
          <w:p w:rsidR="00691A96" w:rsidRDefault="00691A96" w:rsidP="00691A96">
            <w:pPr>
              <w:rPr>
                <w:rFonts w:ascii="Arial" w:hAnsi="Arial" w:cs="Arial"/>
                <w:sz w:val="22"/>
                <w:szCs w:val="22"/>
              </w:rPr>
            </w:pPr>
            <w:r>
              <w:rPr>
                <w:rFonts w:ascii="Arial" w:hAnsi="Arial" w:cs="Arial"/>
                <w:sz w:val="22"/>
                <w:szCs w:val="22"/>
              </w:rPr>
              <w:t>7. Lands Tribunal for Scotland 2</w:t>
            </w:r>
          </w:p>
          <w:p w:rsidR="00BE5AC3" w:rsidRPr="00D40E65" w:rsidRDefault="00BE5AC3" w:rsidP="00BE5AC3">
            <w:pPr>
              <w:rPr>
                <w:rFonts w:ascii="Arial" w:hAnsi="Arial" w:cs="Arial"/>
                <w:sz w:val="22"/>
                <w:szCs w:val="22"/>
              </w:rPr>
            </w:pPr>
          </w:p>
        </w:tc>
        <w:tc>
          <w:tcPr>
            <w:tcW w:w="2606" w:type="pct"/>
            <w:shd w:val="clear" w:color="auto" w:fill="auto"/>
          </w:tcPr>
          <w:p w:rsidR="00BE5AC3" w:rsidRDefault="00A056B1" w:rsidP="00BE5AC3">
            <w:pPr>
              <w:rPr>
                <w:rFonts w:ascii="Arial" w:hAnsi="Arial" w:cs="Arial"/>
                <w:sz w:val="22"/>
                <w:szCs w:val="22"/>
              </w:rPr>
            </w:pPr>
            <w:r w:rsidRPr="00483B37">
              <w:rPr>
                <w:rFonts w:ascii="Arial" w:hAnsi="Arial" w:cs="Arial"/>
                <w:sz w:val="22"/>
                <w:szCs w:val="22"/>
              </w:rPr>
              <w:t xml:space="preserve">To produce </w:t>
            </w:r>
            <w:r w:rsidR="00434DDF">
              <w:rPr>
                <w:rFonts w:ascii="Arial" w:hAnsi="Arial" w:cs="Arial"/>
                <w:sz w:val="22"/>
                <w:szCs w:val="22"/>
              </w:rPr>
              <w:t xml:space="preserve">at least 95% of </w:t>
            </w:r>
            <w:r w:rsidRPr="00483B37">
              <w:rPr>
                <w:rFonts w:ascii="Arial" w:hAnsi="Arial" w:cs="Arial"/>
                <w:sz w:val="22"/>
                <w:szCs w:val="22"/>
              </w:rPr>
              <w:t>1st Orders/Notices within 8 working days of full receipt of new application.</w:t>
            </w:r>
          </w:p>
          <w:p w:rsidR="00A056B1" w:rsidRPr="00336114" w:rsidRDefault="00A056B1" w:rsidP="00BE5AC3">
            <w:pPr>
              <w:rPr>
                <w:rFonts w:ascii="Arial" w:hAnsi="Arial" w:cs="Arial"/>
                <w:sz w:val="16"/>
                <w:szCs w:val="16"/>
              </w:rPr>
            </w:pPr>
          </w:p>
        </w:tc>
        <w:tc>
          <w:tcPr>
            <w:tcW w:w="1216" w:type="pct"/>
            <w:shd w:val="clear" w:color="auto" w:fill="auto"/>
          </w:tcPr>
          <w:p w:rsidR="00BE5AC3" w:rsidRPr="00D40E65" w:rsidRDefault="00A056B1" w:rsidP="00BE5AC3">
            <w:pPr>
              <w:rPr>
                <w:rFonts w:ascii="Arial" w:hAnsi="Arial" w:cs="Arial"/>
                <w:sz w:val="22"/>
                <w:szCs w:val="22"/>
              </w:rPr>
            </w:pPr>
            <w:r>
              <w:rPr>
                <w:rFonts w:ascii="Arial" w:hAnsi="Arial" w:cs="Arial"/>
                <w:sz w:val="22"/>
                <w:szCs w:val="22"/>
              </w:rPr>
              <w:t xml:space="preserve">To ensure applications are timeously processed </w:t>
            </w:r>
          </w:p>
        </w:tc>
      </w:tr>
      <w:tr w:rsidR="00A7392B" w:rsidRPr="00D40E65" w:rsidTr="00707D61">
        <w:tc>
          <w:tcPr>
            <w:tcW w:w="1178" w:type="pct"/>
          </w:tcPr>
          <w:p w:rsidR="00A7392B" w:rsidRPr="00D40E65" w:rsidRDefault="00A7392B" w:rsidP="00A144D1">
            <w:pPr>
              <w:rPr>
                <w:rFonts w:ascii="Arial" w:hAnsi="Arial" w:cs="Arial"/>
                <w:sz w:val="22"/>
                <w:szCs w:val="22"/>
              </w:rPr>
            </w:pPr>
            <w:r>
              <w:rPr>
                <w:rFonts w:ascii="Arial" w:hAnsi="Arial" w:cs="Arial"/>
                <w:sz w:val="22"/>
                <w:szCs w:val="22"/>
              </w:rPr>
              <w:t>8. Additional Support Needs Tribunal</w:t>
            </w:r>
            <w:r w:rsidRPr="00483B37">
              <w:rPr>
                <w:rFonts w:ascii="Arial" w:hAnsi="Arial" w:cs="Arial"/>
                <w:sz w:val="22"/>
                <w:szCs w:val="22"/>
              </w:rPr>
              <w:t xml:space="preserve"> 1</w:t>
            </w:r>
          </w:p>
        </w:tc>
        <w:tc>
          <w:tcPr>
            <w:tcW w:w="2606" w:type="pct"/>
            <w:shd w:val="clear" w:color="auto" w:fill="auto"/>
          </w:tcPr>
          <w:p w:rsidR="00A7392B" w:rsidRDefault="00A7392B" w:rsidP="00A144D1">
            <w:pPr>
              <w:rPr>
                <w:rFonts w:ascii="Arial" w:hAnsi="Arial" w:cs="Arial"/>
                <w:sz w:val="22"/>
                <w:szCs w:val="22"/>
              </w:rPr>
            </w:pPr>
            <w:r w:rsidRPr="00483B37">
              <w:rPr>
                <w:rFonts w:ascii="Arial" w:hAnsi="Arial" w:cs="Arial"/>
                <w:sz w:val="22"/>
                <w:szCs w:val="22"/>
              </w:rPr>
              <w:t xml:space="preserve">Issue </w:t>
            </w:r>
            <w:r>
              <w:rPr>
                <w:rFonts w:ascii="Arial" w:hAnsi="Arial" w:cs="Arial"/>
                <w:sz w:val="22"/>
                <w:szCs w:val="22"/>
              </w:rPr>
              <w:t xml:space="preserve">at least 99% of </w:t>
            </w:r>
            <w:r w:rsidRPr="00483B37">
              <w:rPr>
                <w:rFonts w:ascii="Arial" w:hAnsi="Arial" w:cs="Arial"/>
                <w:sz w:val="22"/>
                <w:szCs w:val="22"/>
              </w:rPr>
              <w:t>decision</w:t>
            </w:r>
            <w:r>
              <w:rPr>
                <w:rFonts w:ascii="Arial" w:hAnsi="Arial" w:cs="Arial"/>
                <w:sz w:val="22"/>
                <w:szCs w:val="22"/>
              </w:rPr>
              <w:t>s</w:t>
            </w:r>
            <w:r w:rsidRPr="00483B37">
              <w:rPr>
                <w:rFonts w:ascii="Arial" w:hAnsi="Arial" w:cs="Arial"/>
                <w:sz w:val="22"/>
                <w:szCs w:val="22"/>
              </w:rPr>
              <w:t xml:space="preserve"> to parties within 2 working days of receipt from convenor</w:t>
            </w:r>
            <w:r>
              <w:rPr>
                <w:rFonts w:ascii="Arial" w:hAnsi="Arial" w:cs="Arial"/>
                <w:sz w:val="22"/>
                <w:szCs w:val="22"/>
              </w:rPr>
              <w:t>.</w:t>
            </w:r>
          </w:p>
          <w:p w:rsidR="00A7392B" w:rsidRPr="00336114" w:rsidRDefault="00A7392B" w:rsidP="00A144D1">
            <w:pPr>
              <w:rPr>
                <w:rFonts w:ascii="Arial" w:hAnsi="Arial" w:cs="Arial"/>
                <w:sz w:val="16"/>
                <w:szCs w:val="16"/>
              </w:rPr>
            </w:pPr>
          </w:p>
        </w:tc>
        <w:tc>
          <w:tcPr>
            <w:tcW w:w="1216" w:type="pct"/>
            <w:shd w:val="clear" w:color="auto" w:fill="auto"/>
          </w:tcPr>
          <w:p w:rsidR="00A7392B" w:rsidRDefault="00A7392B" w:rsidP="00A144D1">
            <w:pPr>
              <w:rPr>
                <w:rFonts w:ascii="Arial" w:hAnsi="Arial" w:cs="Arial"/>
                <w:sz w:val="22"/>
                <w:szCs w:val="22"/>
              </w:rPr>
            </w:pPr>
            <w:r>
              <w:rPr>
                <w:rFonts w:ascii="Arial" w:hAnsi="Arial" w:cs="Arial"/>
                <w:sz w:val="22"/>
                <w:szCs w:val="22"/>
              </w:rPr>
              <w:t>Ensures timeous conclusion of business</w:t>
            </w:r>
          </w:p>
          <w:p w:rsidR="00A7392B" w:rsidRPr="00336114" w:rsidRDefault="00A7392B" w:rsidP="00A144D1">
            <w:pPr>
              <w:rPr>
                <w:rFonts w:ascii="Arial" w:hAnsi="Arial" w:cs="Arial"/>
                <w:sz w:val="16"/>
                <w:szCs w:val="16"/>
              </w:rPr>
            </w:pPr>
          </w:p>
        </w:tc>
      </w:tr>
      <w:tr w:rsidR="00A7392B" w:rsidRPr="00D40E65" w:rsidTr="00707D61">
        <w:tc>
          <w:tcPr>
            <w:tcW w:w="1178" w:type="pct"/>
          </w:tcPr>
          <w:p w:rsidR="00A7392B" w:rsidRDefault="00A7392B" w:rsidP="00336114">
            <w:pPr>
              <w:rPr>
                <w:rFonts w:ascii="Arial" w:hAnsi="Arial" w:cs="Arial"/>
                <w:sz w:val="22"/>
                <w:szCs w:val="22"/>
              </w:rPr>
            </w:pPr>
            <w:r>
              <w:rPr>
                <w:rFonts w:ascii="Arial" w:hAnsi="Arial" w:cs="Arial"/>
                <w:sz w:val="22"/>
                <w:szCs w:val="22"/>
              </w:rPr>
              <w:t>9. Additional Support Needs Tribunal 2</w:t>
            </w:r>
          </w:p>
          <w:p w:rsidR="00336114" w:rsidRPr="00336114" w:rsidRDefault="00336114" w:rsidP="00336114">
            <w:pPr>
              <w:rPr>
                <w:rFonts w:ascii="Arial" w:hAnsi="Arial" w:cs="Arial"/>
                <w:sz w:val="14"/>
                <w:szCs w:val="14"/>
              </w:rPr>
            </w:pPr>
          </w:p>
        </w:tc>
        <w:tc>
          <w:tcPr>
            <w:tcW w:w="2606" w:type="pct"/>
            <w:shd w:val="clear" w:color="auto" w:fill="auto"/>
          </w:tcPr>
          <w:p w:rsidR="00A7392B" w:rsidRDefault="00A7392B" w:rsidP="00A144D1">
            <w:pPr>
              <w:rPr>
                <w:rFonts w:ascii="Arial" w:hAnsi="Arial" w:cs="Arial"/>
                <w:sz w:val="22"/>
                <w:szCs w:val="22"/>
              </w:rPr>
            </w:pPr>
            <w:r w:rsidRPr="00483B37">
              <w:rPr>
                <w:rFonts w:ascii="Arial" w:hAnsi="Arial" w:cs="Arial"/>
                <w:sz w:val="22"/>
                <w:szCs w:val="22"/>
              </w:rPr>
              <w:t xml:space="preserve">Issue </w:t>
            </w:r>
            <w:r>
              <w:rPr>
                <w:rFonts w:ascii="Arial" w:hAnsi="Arial" w:cs="Arial"/>
                <w:sz w:val="22"/>
                <w:szCs w:val="22"/>
              </w:rPr>
              <w:t xml:space="preserve">100% of </w:t>
            </w:r>
            <w:r w:rsidRPr="00483B37">
              <w:rPr>
                <w:rFonts w:ascii="Arial" w:hAnsi="Arial" w:cs="Arial"/>
                <w:sz w:val="22"/>
                <w:szCs w:val="22"/>
              </w:rPr>
              <w:t>papers to parties within 2 working days of case statement period</w:t>
            </w:r>
          </w:p>
          <w:p w:rsidR="00A7392B" w:rsidRPr="00336114" w:rsidRDefault="00A7392B" w:rsidP="00A144D1">
            <w:pPr>
              <w:rPr>
                <w:rFonts w:ascii="Arial" w:hAnsi="Arial" w:cs="Arial"/>
                <w:sz w:val="16"/>
                <w:szCs w:val="16"/>
              </w:rPr>
            </w:pPr>
          </w:p>
        </w:tc>
        <w:tc>
          <w:tcPr>
            <w:tcW w:w="1216" w:type="pct"/>
            <w:shd w:val="clear" w:color="auto" w:fill="auto"/>
          </w:tcPr>
          <w:p w:rsidR="00A7392B" w:rsidRPr="00D40E65" w:rsidRDefault="00A7392B" w:rsidP="00A144D1">
            <w:pPr>
              <w:rPr>
                <w:rFonts w:ascii="Arial" w:hAnsi="Arial" w:cs="Arial"/>
                <w:sz w:val="22"/>
                <w:szCs w:val="22"/>
              </w:rPr>
            </w:pPr>
            <w:r>
              <w:rPr>
                <w:rFonts w:ascii="Arial" w:hAnsi="Arial" w:cs="Arial"/>
                <w:sz w:val="22"/>
                <w:szCs w:val="22"/>
              </w:rPr>
              <w:t>To ensure parties are well prepared</w:t>
            </w:r>
          </w:p>
        </w:tc>
      </w:tr>
      <w:tr w:rsidR="00A7392B" w:rsidRPr="00D40E65" w:rsidTr="00707D61">
        <w:tc>
          <w:tcPr>
            <w:tcW w:w="1178" w:type="pct"/>
          </w:tcPr>
          <w:p w:rsidR="00A7392B" w:rsidRPr="00D40E65" w:rsidRDefault="00A7392B" w:rsidP="00A144D1">
            <w:pPr>
              <w:rPr>
                <w:rFonts w:ascii="Arial" w:hAnsi="Arial" w:cs="Arial"/>
                <w:sz w:val="22"/>
                <w:szCs w:val="22"/>
              </w:rPr>
            </w:pPr>
            <w:r>
              <w:rPr>
                <w:rFonts w:ascii="Arial" w:hAnsi="Arial" w:cs="Arial"/>
                <w:sz w:val="22"/>
                <w:szCs w:val="22"/>
              </w:rPr>
              <w:t>10. Private Rented Housing Panel</w:t>
            </w:r>
            <w:r w:rsidRPr="00483B37">
              <w:rPr>
                <w:rFonts w:ascii="Arial" w:hAnsi="Arial" w:cs="Arial"/>
                <w:sz w:val="22"/>
                <w:szCs w:val="22"/>
              </w:rPr>
              <w:t xml:space="preserve"> 1</w:t>
            </w:r>
          </w:p>
        </w:tc>
        <w:tc>
          <w:tcPr>
            <w:tcW w:w="2606" w:type="pct"/>
            <w:shd w:val="clear" w:color="auto" w:fill="auto"/>
          </w:tcPr>
          <w:p w:rsidR="00A7392B" w:rsidRDefault="00A7392B" w:rsidP="00A144D1">
            <w:pPr>
              <w:rPr>
                <w:rFonts w:ascii="Arial" w:hAnsi="Arial" w:cs="Arial"/>
                <w:sz w:val="22"/>
                <w:szCs w:val="22"/>
              </w:rPr>
            </w:pPr>
            <w:r>
              <w:rPr>
                <w:rFonts w:ascii="Arial" w:hAnsi="Arial" w:cs="Arial"/>
                <w:sz w:val="22"/>
                <w:szCs w:val="22"/>
              </w:rPr>
              <w:t>At least 95% of applications to be r</w:t>
            </w:r>
            <w:r w:rsidRPr="00483B37">
              <w:rPr>
                <w:rFonts w:ascii="Arial" w:hAnsi="Arial" w:cs="Arial"/>
                <w:sz w:val="22"/>
                <w:szCs w:val="22"/>
              </w:rPr>
              <w:t>egister</w:t>
            </w:r>
            <w:r>
              <w:rPr>
                <w:rFonts w:ascii="Arial" w:hAnsi="Arial" w:cs="Arial"/>
                <w:sz w:val="22"/>
                <w:szCs w:val="22"/>
              </w:rPr>
              <w:t>ed</w:t>
            </w:r>
            <w:r w:rsidRPr="00483B37">
              <w:rPr>
                <w:rFonts w:ascii="Arial" w:hAnsi="Arial" w:cs="Arial"/>
                <w:sz w:val="22"/>
                <w:szCs w:val="22"/>
              </w:rPr>
              <w:t xml:space="preserve"> &amp; acknowledge</w:t>
            </w:r>
            <w:r>
              <w:rPr>
                <w:rFonts w:ascii="Arial" w:hAnsi="Arial" w:cs="Arial"/>
                <w:sz w:val="22"/>
                <w:szCs w:val="22"/>
              </w:rPr>
              <w:t>d</w:t>
            </w:r>
            <w:r w:rsidRPr="00483B37">
              <w:rPr>
                <w:rFonts w:ascii="Arial" w:hAnsi="Arial" w:cs="Arial"/>
                <w:sz w:val="22"/>
                <w:szCs w:val="22"/>
              </w:rPr>
              <w:t xml:space="preserve"> within 3 working days of receipt.</w:t>
            </w:r>
          </w:p>
          <w:p w:rsidR="00A7392B" w:rsidRPr="00336114" w:rsidRDefault="00A7392B" w:rsidP="00A144D1">
            <w:pPr>
              <w:rPr>
                <w:rFonts w:ascii="Arial" w:hAnsi="Arial" w:cs="Arial"/>
                <w:sz w:val="14"/>
                <w:szCs w:val="14"/>
              </w:rPr>
            </w:pPr>
          </w:p>
        </w:tc>
        <w:tc>
          <w:tcPr>
            <w:tcW w:w="1216" w:type="pct"/>
            <w:shd w:val="clear" w:color="auto" w:fill="auto"/>
          </w:tcPr>
          <w:p w:rsidR="00A7392B" w:rsidRPr="00D40E65" w:rsidRDefault="00A144D1" w:rsidP="00A144D1">
            <w:pPr>
              <w:rPr>
                <w:rFonts w:ascii="Arial" w:hAnsi="Arial" w:cs="Arial"/>
                <w:sz w:val="22"/>
                <w:szCs w:val="22"/>
              </w:rPr>
            </w:pPr>
            <w:r>
              <w:rPr>
                <w:rFonts w:ascii="Arial" w:hAnsi="Arial" w:cs="Arial"/>
                <w:sz w:val="22"/>
                <w:szCs w:val="22"/>
              </w:rPr>
              <w:t>To ensure applications are timeously processed</w:t>
            </w:r>
          </w:p>
        </w:tc>
      </w:tr>
      <w:tr w:rsidR="00483B37" w:rsidRPr="00D40E65" w:rsidTr="00707D61">
        <w:tc>
          <w:tcPr>
            <w:tcW w:w="1178" w:type="pct"/>
          </w:tcPr>
          <w:p w:rsidR="00483B37" w:rsidRPr="00D40E65" w:rsidRDefault="00A144D1" w:rsidP="00A144D1">
            <w:pPr>
              <w:rPr>
                <w:rFonts w:ascii="Arial" w:hAnsi="Arial" w:cs="Arial"/>
                <w:sz w:val="22"/>
                <w:szCs w:val="22"/>
              </w:rPr>
            </w:pPr>
            <w:r>
              <w:rPr>
                <w:rFonts w:ascii="Arial" w:hAnsi="Arial" w:cs="Arial"/>
                <w:sz w:val="22"/>
                <w:szCs w:val="22"/>
              </w:rPr>
              <w:t>11. Private Rented Housing Panel 2</w:t>
            </w:r>
            <w:r w:rsidR="00483B37" w:rsidRPr="00483B37">
              <w:rPr>
                <w:rFonts w:ascii="Arial" w:hAnsi="Arial" w:cs="Arial"/>
                <w:sz w:val="22"/>
                <w:szCs w:val="22"/>
              </w:rPr>
              <w:tab/>
            </w:r>
          </w:p>
        </w:tc>
        <w:tc>
          <w:tcPr>
            <w:tcW w:w="2606" w:type="pct"/>
            <w:shd w:val="clear" w:color="auto" w:fill="auto"/>
          </w:tcPr>
          <w:p w:rsidR="00483B37" w:rsidRDefault="00A144D1" w:rsidP="00A144D1">
            <w:pPr>
              <w:rPr>
                <w:rFonts w:ascii="Arial" w:hAnsi="Arial" w:cs="Arial"/>
                <w:sz w:val="22"/>
                <w:szCs w:val="22"/>
              </w:rPr>
            </w:pPr>
            <w:r>
              <w:rPr>
                <w:rFonts w:ascii="Arial" w:hAnsi="Arial" w:cs="Arial"/>
                <w:sz w:val="22"/>
                <w:szCs w:val="22"/>
              </w:rPr>
              <w:t>At least 95% of n</w:t>
            </w:r>
            <w:r w:rsidRPr="00483B37">
              <w:rPr>
                <w:rFonts w:ascii="Arial" w:hAnsi="Arial" w:cs="Arial"/>
                <w:sz w:val="22"/>
                <w:szCs w:val="22"/>
              </w:rPr>
              <w:t>otification</w:t>
            </w:r>
            <w:r>
              <w:rPr>
                <w:rFonts w:ascii="Arial" w:hAnsi="Arial" w:cs="Arial"/>
                <w:sz w:val="22"/>
                <w:szCs w:val="22"/>
              </w:rPr>
              <w:t>s</w:t>
            </w:r>
            <w:r w:rsidRPr="00483B37">
              <w:rPr>
                <w:rFonts w:ascii="Arial" w:hAnsi="Arial" w:cs="Arial"/>
                <w:sz w:val="22"/>
                <w:szCs w:val="22"/>
              </w:rPr>
              <w:t xml:space="preserve"> of first inspection and hearing to </w:t>
            </w:r>
            <w:r>
              <w:rPr>
                <w:rFonts w:ascii="Arial" w:hAnsi="Arial" w:cs="Arial"/>
                <w:sz w:val="22"/>
                <w:szCs w:val="22"/>
              </w:rPr>
              <w:t xml:space="preserve">be issued to </w:t>
            </w:r>
            <w:r w:rsidRPr="00483B37">
              <w:rPr>
                <w:rFonts w:ascii="Arial" w:hAnsi="Arial" w:cs="Arial"/>
                <w:sz w:val="22"/>
                <w:szCs w:val="22"/>
              </w:rPr>
              <w:t>parties not less than 14 working days before date of committee</w:t>
            </w:r>
          </w:p>
          <w:p w:rsidR="00336114" w:rsidRPr="00336114" w:rsidRDefault="00336114" w:rsidP="00A144D1">
            <w:pPr>
              <w:rPr>
                <w:rFonts w:ascii="Arial" w:hAnsi="Arial" w:cs="Arial"/>
                <w:sz w:val="14"/>
                <w:szCs w:val="14"/>
              </w:rPr>
            </w:pPr>
          </w:p>
        </w:tc>
        <w:tc>
          <w:tcPr>
            <w:tcW w:w="1216" w:type="pct"/>
            <w:shd w:val="clear" w:color="auto" w:fill="auto"/>
          </w:tcPr>
          <w:p w:rsidR="00483B37" w:rsidRPr="00D40E65" w:rsidRDefault="00A144D1" w:rsidP="00BE5AC3">
            <w:pPr>
              <w:rPr>
                <w:rFonts w:ascii="Arial" w:hAnsi="Arial" w:cs="Arial"/>
                <w:sz w:val="22"/>
                <w:szCs w:val="22"/>
              </w:rPr>
            </w:pPr>
            <w:r>
              <w:rPr>
                <w:rFonts w:ascii="Arial" w:hAnsi="Arial" w:cs="Arial"/>
                <w:sz w:val="22"/>
                <w:szCs w:val="22"/>
              </w:rPr>
              <w:t>To ensure parties are well prepared</w:t>
            </w:r>
          </w:p>
        </w:tc>
      </w:tr>
      <w:tr w:rsidR="00483B37" w:rsidRPr="00D40E65" w:rsidTr="00707D61">
        <w:tc>
          <w:tcPr>
            <w:tcW w:w="1178" w:type="pct"/>
          </w:tcPr>
          <w:p w:rsidR="00483B37" w:rsidRPr="00D40E65" w:rsidRDefault="00A144D1" w:rsidP="00A144D1">
            <w:pPr>
              <w:rPr>
                <w:rFonts w:ascii="Arial" w:hAnsi="Arial" w:cs="Arial"/>
                <w:sz w:val="22"/>
                <w:szCs w:val="22"/>
              </w:rPr>
            </w:pPr>
            <w:r>
              <w:rPr>
                <w:rFonts w:ascii="Arial" w:hAnsi="Arial" w:cs="Arial"/>
                <w:sz w:val="22"/>
                <w:szCs w:val="22"/>
              </w:rPr>
              <w:t xml:space="preserve">12. Home Owner Housing Panel </w:t>
            </w:r>
            <w:r w:rsidR="00707D61">
              <w:rPr>
                <w:rFonts w:ascii="Arial" w:hAnsi="Arial" w:cs="Arial"/>
                <w:sz w:val="22"/>
                <w:szCs w:val="22"/>
              </w:rPr>
              <w:t>1</w:t>
            </w:r>
          </w:p>
        </w:tc>
        <w:tc>
          <w:tcPr>
            <w:tcW w:w="2606" w:type="pct"/>
            <w:shd w:val="clear" w:color="auto" w:fill="auto"/>
          </w:tcPr>
          <w:p w:rsidR="00483B37" w:rsidRPr="00D40E65" w:rsidRDefault="00A144D1" w:rsidP="00A144D1">
            <w:pPr>
              <w:rPr>
                <w:rFonts w:ascii="Arial" w:hAnsi="Arial" w:cs="Arial"/>
                <w:sz w:val="22"/>
                <w:szCs w:val="22"/>
              </w:rPr>
            </w:pPr>
            <w:r>
              <w:rPr>
                <w:rFonts w:ascii="Arial" w:hAnsi="Arial" w:cs="Arial"/>
                <w:sz w:val="22"/>
                <w:szCs w:val="22"/>
              </w:rPr>
              <w:t>At least 95% of applications to be r</w:t>
            </w:r>
            <w:r w:rsidRPr="00483B37">
              <w:rPr>
                <w:rFonts w:ascii="Arial" w:hAnsi="Arial" w:cs="Arial"/>
                <w:sz w:val="22"/>
                <w:szCs w:val="22"/>
              </w:rPr>
              <w:t>egister</w:t>
            </w:r>
            <w:r>
              <w:rPr>
                <w:rFonts w:ascii="Arial" w:hAnsi="Arial" w:cs="Arial"/>
                <w:sz w:val="22"/>
                <w:szCs w:val="22"/>
              </w:rPr>
              <w:t>ed</w:t>
            </w:r>
            <w:r w:rsidRPr="00483B37">
              <w:rPr>
                <w:rFonts w:ascii="Arial" w:hAnsi="Arial" w:cs="Arial"/>
                <w:sz w:val="22"/>
                <w:szCs w:val="22"/>
              </w:rPr>
              <w:t xml:space="preserve"> and acknowledge</w:t>
            </w:r>
            <w:r>
              <w:rPr>
                <w:rFonts w:ascii="Arial" w:hAnsi="Arial" w:cs="Arial"/>
                <w:sz w:val="22"/>
                <w:szCs w:val="22"/>
              </w:rPr>
              <w:t>d</w:t>
            </w:r>
            <w:r w:rsidRPr="00483B37">
              <w:rPr>
                <w:rFonts w:ascii="Arial" w:hAnsi="Arial" w:cs="Arial"/>
                <w:sz w:val="22"/>
                <w:szCs w:val="22"/>
              </w:rPr>
              <w:t xml:space="preserve"> within 2 working days of receipt</w:t>
            </w:r>
          </w:p>
        </w:tc>
        <w:tc>
          <w:tcPr>
            <w:tcW w:w="1216" w:type="pct"/>
            <w:shd w:val="clear" w:color="auto" w:fill="auto"/>
          </w:tcPr>
          <w:p w:rsidR="00483B37" w:rsidRDefault="00A144D1" w:rsidP="00BE5AC3">
            <w:pPr>
              <w:rPr>
                <w:rFonts w:ascii="Arial" w:hAnsi="Arial" w:cs="Arial"/>
                <w:sz w:val="22"/>
                <w:szCs w:val="22"/>
              </w:rPr>
            </w:pPr>
            <w:r>
              <w:rPr>
                <w:rFonts w:ascii="Arial" w:hAnsi="Arial" w:cs="Arial"/>
                <w:sz w:val="22"/>
                <w:szCs w:val="22"/>
              </w:rPr>
              <w:t>To ensure applications are timeously processed</w:t>
            </w:r>
          </w:p>
          <w:p w:rsidR="00A144D1" w:rsidRPr="00336114" w:rsidRDefault="00A144D1" w:rsidP="00BE5AC3">
            <w:pPr>
              <w:rPr>
                <w:rFonts w:ascii="Arial" w:hAnsi="Arial" w:cs="Arial"/>
                <w:sz w:val="14"/>
                <w:szCs w:val="14"/>
              </w:rPr>
            </w:pPr>
          </w:p>
        </w:tc>
      </w:tr>
      <w:tr w:rsidR="00483B37" w:rsidRPr="00D40E65" w:rsidTr="00707D61">
        <w:tc>
          <w:tcPr>
            <w:tcW w:w="1178" w:type="pct"/>
          </w:tcPr>
          <w:p w:rsidR="00483B37" w:rsidRPr="00D40E65" w:rsidRDefault="00336114" w:rsidP="00A144D1">
            <w:pPr>
              <w:rPr>
                <w:rFonts w:ascii="Arial" w:hAnsi="Arial" w:cs="Arial"/>
                <w:sz w:val="22"/>
                <w:szCs w:val="22"/>
              </w:rPr>
            </w:pPr>
            <w:r>
              <w:rPr>
                <w:rFonts w:ascii="Arial" w:hAnsi="Arial" w:cs="Arial"/>
                <w:sz w:val="22"/>
                <w:szCs w:val="22"/>
              </w:rPr>
              <w:t xml:space="preserve">13. </w:t>
            </w:r>
            <w:r w:rsidR="00A144D1">
              <w:rPr>
                <w:rFonts w:ascii="Arial" w:hAnsi="Arial" w:cs="Arial"/>
                <w:sz w:val="22"/>
                <w:szCs w:val="22"/>
              </w:rPr>
              <w:t>Council Tax Reduction Review Panel 1</w:t>
            </w:r>
          </w:p>
        </w:tc>
        <w:tc>
          <w:tcPr>
            <w:tcW w:w="2606" w:type="pct"/>
            <w:shd w:val="clear" w:color="auto" w:fill="auto"/>
          </w:tcPr>
          <w:p w:rsidR="00483B37" w:rsidRPr="00D40E65" w:rsidRDefault="00A144D1" w:rsidP="00A144D1">
            <w:pPr>
              <w:rPr>
                <w:rFonts w:ascii="Arial" w:hAnsi="Arial" w:cs="Arial"/>
                <w:sz w:val="22"/>
                <w:szCs w:val="22"/>
              </w:rPr>
            </w:pPr>
            <w:r>
              <w:rPr>
                <w:rFonts w:ascii="Arial" w:hAnsi="Arial" w:cs="Arial"/>
                <w:sz w:val="22"/>
                <w:szCs w:val="22"/>
              </w:rPr>
              <w:t>At least 99% of decisions to be i</w:t>
            </w:r>
            <w:r w:rsidRPr="00483B37">
              <w:rPr>
                <w:rFonts w:ascii="Arial" w:hAnsi="Arial" w:cs="Arial"/>
                <w:sz w:val="22"/>
                <w:szCs w:val="22"/>
              </w:rPr>
              <w:t>ssue</w:t>
            </w:r>
            <w:r>
              <w:rPr>
                <w:rFonts w:ascii="Arial" w:hAnsi="Arial" w:cs="Arial"/>
                <w:sz w:val="22"/>
                <w:szCs w:val="22"/>
              </w:rPr>
              <w:t>d</w:t>
            </w:r>
            <w:r w:rsidRPr="00483B37">
              <w:rPr>
                <w:rFonts w:ascii="Arial" w:hAnsi="Arial" w:cs="Arial"/>
                <w:sz w:val="22"/>
                <w:szCs w:val="22"/>
              </w:rPr>
              <w:t xml:space="preserve"> to parties within 2 working days of receipt</w:t>
            </w:r>
          </w:p>
        </w:tc>
        <w:tc>
          <w:tcPr>
            <w:tcW w:w="1216" w:type="pct"/>
            <w:shd w:val="clear" w:color="auto" w:fill="auto"/>
          </w:tcPr>
          <w:p w:rsidR="00483B37" w:rsidRDefault="00A144D1" w:rsidP="00BE5AC3">
            <w:pPr>
              <w:rPr>
                <w:rFonts w:ascii="Arial" w:hAnsi="Arial" w:cs="Arial"/>
                <w:sz w:val="22"/>
                <w:szCs w:val="22"/>
              </w:rPr>
            </w:pPr>
            <w:r>
              <w:rPr>
                <w:rFonts w:ascii="Arial" w:hAnsi="Arial" w:cs="Arial"/>
                <w:sz w:val="22"/>
                <w:szCs w:val="22"/>
              </w:rPr>
              <w:t>Ensures timeous conclusion of business</w:t>
            </w:r>
          </w:p>
          <w:p w:rsidR="00A144D1" w:rsidRPr="00336114" w:rsidRDefault="00A144D1" w:rsidP="00BE5AC3">
            <w:pPr>
              <w:rPr>
                <w:rFonts w:ascii="Arial" w:hAnsi="Arial" w:cs="Arial"/>
                <w:sz w:val="14"/>
                <w:szCs w:val="14"/>
              </w:rPr>
            </w:pPr>
          </w:p>
        </w:tc>
      </w:tr>
      <w:tr w:rsidR="00483B37" w:rsidRPr="00D40E65" w:rsidTr="00707D61">
        <w:tc>
          <w:tcPr>
            <w:tcW w:w="1178" w:type="pct"/>
          </w:tcPr>
          <w:p w:rsidR="00483B37" w:rsidRPr="00483B37" w:rsidRDefault="00336114" w:rsidP="00336114">
            <w:pPr>
              <w:rPr>
                <w:rFonts w:ascii="Arial" w:hAnsi="Arial" w:cs="Arial"/>
                <w:sz w:val="22"/>
                <w:szCs w:val="22"/>
              </w:rPr>
            </w:pPr>
            <w:r>
              <w:rPr>
                <w:rFonts w:ascii="Arial" w:hAnsi="Arial" w:cs="Arial"/>
                <w:sz w:val="22"/>
                <w:szCs w:val="22"/>
              </w:rPr>
              <w:t>14. Council Tax Reduction Review Panel 2</w:t>
            </w:r>
            <w:r w:rsidR="00483B37" w:rsidRPr="00483B37">
              <w:rPr>
                <w:rFonts w:ascii="Arial" w:hAnsi="Arial" w:cs="Arial"/>
                <w:sz w:val="22"/>
                <w:szCs w:val="22"/>
              </w:rPr>
              <w:tab/>
            </w:r>
          </w:p>
        </w:tc>
        <w:tc>
          <w:tcPr>
            <w:tcW w:w="2606" w:type="pct"/>
            <w:shd w:val="clear" w:color="auto" w:fill="auto"/>
          </w:tcPr>
          <w:p w:rsidR="00483B37" w:rsidRPr="00D40E65" w:rsidRDefault="00336114" w:rsidP="00336114">
            <w:pPr>
              <w:rPr>
                <w:rFonts w:ascii="Arial" w:hAnsi="Arial" w:cs="Arial"/>
                <w:sz w:val="22"/>
                <w:szCs w:val="22"/>
              </w:rPr>
            </w:pPr>
            <w:r>
              <w:rPr>
                <w:rFonts w:ascii="Arial" w:hAnsi="Arial" w:cs="Arial"/>
                <w:sz w:val="22"/>
                <w:szCs w:val="22"/>
              </w:rPr>
              <w:t>At least 99% of applications to be r</w:t>
            </w:r>
            <w:r w:rsidRPr="00483B37">
              <w:rPr>
                <w:rFonts w:ascii="Arial" w:hAnsi="Arial" w:cs="Arial"/>
                <w:sz w:val="22"/>
                <w:szCs w:val="22"/>
              </w:rPr>
              <w:t>egister</w:t>
            </w:r>
            <w:r>
              <w:rPr>
                <w:rFonts w:ascii="Arial" w:hAnsi="Arial" w:cs="Arial"/>
                <w:sz w:val="22"/>
                <w:szCs w:val="22"/>
              </w:rPr>
              <w:t>ed</w:t>
            </w:r>
            <w:r w:rsidRPr="00483B37">
              <w:rPr>
                <w:rFonts w:ascii="Arial" w:hAnsi="Arial" w:cs="Arial"/>
                <w:sz w:val="22"/>
                <w:szCs w:val="22"/>
              </w:rPr>
              <w:t xml:space="preserve"> and acknowledge</w:t>
            </w:r>
            <w:r>
              <w:rPr>
                <w:rFonts w:ascii="Arial" w:hAnsi="Arial" w:cs="Arial"/>
                <w:sz w:val="22"/>
                <w:szCs w:val="22"/>
              </w:rPr>
              <w:t>d</w:t>
            </w:r>
            <w:r w:rsidRPr="00483B37">
              <w:rPr>
                <w:rFonts w:ascii="Arial" w:hAnsi="Arial" w:cs="Arial"/>
                <w:sz w:val="22"/>
                <w:szCs w:val="22"/>
              </w:rPr>
              <w:t xml:space="preserve"> within 3 working days of receipt</w:t>
            </w:r>
          </w:p>
        </w:tc>
        <w:tc>
          <w:tcPr>
            <w:tcW w:w="1216" w:type="pct"/>
            <w:shd w:val="clear" w:color="auto" w:fill="auto"/>
          </w:tcPr>
          <w:p w:rsidR="00483B37" w:rsidRPr="00336114" w:rsidRDefault="00336114" w:rsidP="00707D61">
            <w:pPr>
              <w:rPr>
                <w:rFonts w:ascii="Arial" w:hAnsi="Arial" w:cs="Arial"/>
                <w:sz w:val="16"/>
                <w:szCs w:val="16"/>
              </w:rPr>
            </w:pPr>
            <w:r>
              <w:rPr>
                <w:rFonts w:ascii="Arial" w:hAnsi="Arial" w:cs="Arial"/>
                <w:sz w:val="22"/>
                <w:szCs w:val="22"/>
              </w:rPr>
              <w:t>To ensure applications are timeously processed</w:t>
            </w:r>
          </w:p>
        </w:tc>
      </w:tr>
    </w:tbl>
    <w:p w:rsidR="002A46BF" w:rsidRDefault="002A46BF" w:rsidP="00ED0E87">
      <w:pPr>
        <w:rPr>
          <w:rFonts w:ascii="Arial" w:hAnsi="Arial" w:cs="Arial"/>
          <w:b/>
          <w:sz w:val="22"/>
          <w:szCs w:val="22"/>
        </w:rPr>
      </w:pPr>
    </w:p>
    <w:p w:rsidR="002A46BF" w:rsidRDefault="002A46BF" w:rsidP="00ED0E87">
      <w:pPr>
        <w:rPr>
          <w:rFonts w:ascii="Arial" w:hAnsi="Arial" w:cs="Arial"/>
          <w:b/>
          <w:sz w:val="22"/>
          <w:szCs w:val="22"/>
        </w:rPr>
        <w:sectPr w:rsidR="002A46BF" w:rsidSect="00707D61">
          <w:pgSz w:w="11906" w:h="16838"/>
          <w:pgMar w:top="1361" w:right="1588" w:bottom="1361" w:left="1588" w:header="709" w:footer="709" w:gutter="0"/>
          <w:cols w:space="708"/>
          <w:docGrid w:linePitch="360"/>
        </w:sectPr>
      </w:pPr>
    </w:p>
    <w:p w:rsidR="00ED0E87" w:rsidRDefault="00ED0E87" w:rsidP="00ED0E87">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197"/>
      </w:tblGrid>
      <w:tr w:rsidR="00ED0E87" w:rsidRPr="00D40E65" w:rsidTr="00351997">
        <w:tc>
          <w:tcPr>
            <w:tcW w:w="1951" w:type="pct"/>
            <w:shd w:val="clear" w:color="auto" w:fill="0FC1A3"/>
          </w:tcPr>
          <w:p w:rsidR="00ED0E87" w:rsidRPr="00D40E65" w:rsidRDefault="00ED0E87" w:rsidP="00162868">
            <w:pPr>
              <w:rPr>
                <w:rFonts w:ascii="Arial" w:hAnsi="Arial" w:cs="Arial"/>
                <w:b/>
                <w:sz w:val="22"/>
                <w:szCs w:val="22"/>
              </w:rPr>
            </w:pPr>
            <w:r w:rsidRPr="00D57289">
              <w:rPr>
                <w:rFonts w:ascii="Arial" w:hAnsi="Arial" w:cs="Arial"/>
                <w:b/>
                <w:szCs w:val="22"/>
              </w:rPr>
              <w:t>Strategic Priority 6</w:t>
            </w:r>
          </w:p>
        </w:tc>
        <w:tc>
          <w:tcPr>
            <w:tcW w:w="3049" w:type="pct"/>
            <w:shd w:val="clear" w:color="auto" w:fill="0FC1A3"/>
          </w:tcPr>
          <w:p w:rsidR="00ED0E87" w:rsidRPr="00D40E65" w:rsidRDefault="00ED0E87" w:rsidP="00364ED2">
            <w:pPr>
              <w:rPr>
                <w:rFonts w:ascii="Arial" w:hAnsi="Arial" w:cs="Arial"/>
                <w:b/>
                <w:sz w:val="22"/>
                <w:szCs w:val="22"/>
              </w:rPr>
            </w:pPr>
            <w:r w:rsidRPr="00D57289">
              <w:rPr>
                <w:rFonts w:ascii="Arial" w:hAnsi="Arial" w:cs="Arial"/>
                <w:b/>
                <w:szCs w:val="22"/>
              </w:rPr>
              <w:t>Digital Innovation</w:t>
            </w:r>
          </w:p>
        </w:tc>
      </w:tr>
      <w:tr w:rsidR="00ED0E87" w:rsidRPr="00D40E65" w:rsidTr="00364ED2">
        <w:tc>
          <w:tcPr>
            <w:tcW w:w="1951" w:type="pct"/>
          </w:tcPr>
          <w:p w:rsidR="00ED0E87" w:rsidRPr="00411DCC" w:rsidRDefault="00ED0E87" w:rsidP="00364ED2">
            <w:pPr>
              <w:rPr>
                <w:rFonts w:ascii="Arial" w:hAnsi="Arial" w:cs="Arial"/>
                <w:b/>
                <w:sz w:val="22"/>
                <w:szCs w:val="22"/>
              </w:rPr>
            </w:pPr>
            <w:r>
              <w:rPr>
                <w:rFonts w:ascii="Arial" w:hAnsi="Arial" w:cs="Arial"/>
                <w:b/>
                <w:sz w:val="22"/>
                <w:szCs w:val="22"/>
              </w:rPr>
              <w:t>Measure 6</w:t>
            </w:r>
            <w:r w:rsidR="006A6D8B">
              <w:rPr>
                <w:rFonts w:ascii="Arial" w:hAnsi="Arial" w:cs="Arial"/>
                <w:b/>
                <w:sz w:val="22"/>
                <w:szCs w:val="22"/>
              </w:rPr>
              <w:t>(</w:t>
            </w:r>
            <w:r>
              <w:rPr>
                <w:rFonts w:ascii="Arial" w:hAnsi="Arial" w:cs="Arial"/>
                <w:b/>
                <w:sz w:val="22"/>
                <w:szCs w:val="22"/>
              </w:rPr>
              <w:t>a</w:t>
            </w:r>
            <w:r w:rsidR="006A6D8B">
              <w:rPr>
                <w:rFonts w:ascii="Arial" w:hAnsi="Arial" w:cs="Arial"/>
                <w:b/>
                <w:sz w:val="22"/>
                <w:szCs w:val="22"/>
              </w:rPr>
              <w:t>)</w:t>
            </w:r>
          </w:p>
        </w:tc>
        <w:tc>
          <w:tcPr>
            <w:tcW w:w="3049" w:type="pct"/>
          </w:tcPr>
          <w:p w:rsidR="00ED0E87" w:rsidRDefault="00ED0E87" w:rsidP="00364ED2">
            <w:pPr>
              <w:rPr>
                <w:rFonts w:ascii="Arial" w:hAnsi="Arial" w:cs="Arial"/>
                <w:b/>
                <w:sz w:val="22"/>
                <w:szCs w:val="22"/>
              </w:rPr>
            </w:pPr>
            <w:r w:rsidRPr="00FE7B60">
              <w:rPr>
                <w:rFonts w:ascii="Arial" w:hAnsi="Arial" w:cs="Arial"/>
                <w:b/>
                <w:sz w:val="22"/>
                <w:szCs w:val="22"/>
              </w:rPr>
              <w:t>Transactions that are carried out on line</w:t>
            </w:r>
          </w:p>
          <w:p w:rsidR="00672521" w:rsidRPr="004051A6" w:rsidRDefault="00672521" w:rsidP="00364ED2">
            <w:pPr>
              <w:rPr>
                <w:rFonts w:ascii="Arial" w:hAnsi="Arial" w:cs="Arial"/>
                <w:b/>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49" w:type="pct"/>
          </w:tcPr>
          <w:p w:rsidR="00ED0E87" w:rsidRDefault="00ED0E87" w:rsidP="00F03A3D">
            <w:pPr>
              <w:rPr>
                <w:rFonts w:ascii="Arial" w:hAnsi="Arial" w:cs="Arial"/>
                <w:sz w:val="22"/>
                <w:szCs w:val="22"/>
              </w:rPr>
            </w:pPr>
            <w:r w:rsidRPr="00D40E65">
              <w:rPr>
                <w:rFonts w:ascii="Arial" w:hAnsi="Arial" w:cs="Arial"/>
                <w:sz w:val="22"/>
                <w:szCs w:val="22"/>
              </w:rPr>
              <w:t xml:space="preserve">The proportion of </w:t>
            </w:r>
            <w:r w:rsidR="00F03A3D">
              <w:rPr>
                <w:rFonts w:ascii="Arial" w:hAnsi="Arial" w:cs="Arial"/>
                <w:sz w:val="22"/>
                <w:szCs w:val="22"/>
              </w:rPr>
              <w:t xml:space="preserve">fine </w:t>
            </w:r>
            <w:r w:rsidRPr="00D40E65">
              <w:rPr>
                <w:rFonts w:ascii="Arial" w:hAnsi="Arial" w:cs="Arial"/>
                <w:sz w:val="22"/>
                <w:szCs w:val="22"/>
              </w:rPr>
              <w:t xml:space="preserve">transactions that </w:t>
            </w:r>
            <w:r w:rsidR="00F03A3D">
              <w:rPr>
                <w:rFonts w:ascii="Arial" w:hAnsi="Arial" w:cs="Arial"/>
                <w:sz w:val="22"/>
                <w:szCs w:val="22"/>
              </w:rPr>
              <w:t xml:space="preserve">are </w:t>
            </w:r>
            <w:r w:rsidRPr="00D40E65">
              <w:rPr>
                <w:rFonts w:ascii="Arial" w:hAnsi="Arial" w:cs="Arial"/>
                <w:sz w:val="22"/>
                <w:szCs w:val="22"/>
              </w:rPr>
              <w:t>carried out on line.</w:t>
            </w:r>
          </w:p>
          <w:p w:rsidR="00672521" w:rsidRPr="00D40E65" w:rsidRDefault="00672521" w:rsidP="00F03A3D">
            <w:pPr>
              <w:rPr>
                <w:rFonts w:ascii="Arial" w:hAnsi="Arial" w:cs="Arial"/>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EA1E06" w:rsidRDefault="00EA1E06" w:rsidP="00EA1E06">
            <w:pPr>
              <w:rPr>
                <w:rFonts w:ascii="Arial" w:hAnsi="Arial" w:cs="Arial"/>
                <w:sz w:val="22"/>
                <w:szCs w:val="22"/>
              </w:rPr>
            </w:pPr>
          </w:p>
          <w:p w:rsidR="00ED0E87" w:rsidRPr="00D40E65" w:rsidRDefault="00ED0E87" w:rsidP="00EA1E06">
            <w:pPr>
              <w:rPr>
                <w:rFonts w:ascii="Arial" w:hAnsi="Arial" w:cs="Arial"/>
                <w:sz w:val="22"/>
                <w:szCs w:val="22"/>
              </w:rPr>
            </w:pPr>
          </w:p>
        </w:tc>
        <w:tc>
          <w:tcPr>
            <w:tcW w:w="3049" w:type="pct"/>
          </w:tcPr>
          <w:p w:rsidR="00ED0E87" w:rsidRDefault="00ED0E87" w:rsidP="00364ED2">
            <w:pPr>
              <w:rPr>
                <w:rFonts w:ascii="Arial" w:hAnsi="Arial" w:cs="Arial"/>
                <w:sz w:val="22"/>
                <w:szCs w:val="22"/>
              </w:rPr>
            </w:pPr>
            <w:r w:rsidRPr="00D40E65">
              <w:rPr>
                <w:rFonts w:ascii="Arial" w:hAnsi="Arial" w:cs="Arial"/>
                <w:sz w:val="22"/>
                <w:szCs w:val="22"/>
              </w:rPr>
              <w:t>Migrating court users to on line transactions from face to face or postal transactions is more convenient for many court users and reduces the transactional processing burden on court staff.</w:t>
            </w:r>
          </w:p>
          <w:p w:rsidR="00672521" w:rsidRPr="00D40E65" w:rsidRDefault="00672521"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 xml:space="preserve">A larger number of on line transactions will provide a platform for process improvement and give opportunities for </w:t>
            </w:r>
            <w:r>
              <w:rPr>
                <w:rFonts w:ascii="Arial" w:hAnsi="Arial" w:cs="Arial"/>
                <w:sz w:val="22"/>
                <w:szCs w:val="22"/>
              </w:rPr>
              <w:t xml:space="preserve">the </w:t>
            </w:r>
            <w:r w:rsidRPr="00D40E65">
              <w:rPr>
                <w:rFonts w:ascii="Arial" w:hAnsi="Arial" w:cs="Arial"/>
                <w:sz w:val="22"/>
                <w:szCs w:val="22"/>
              </w:rPr>
              <w:t>SC</w:t>
            </w:r>
            <w:r w:rsidR="00844A89">
              <w:rPr>
                <w:rFonts w:ascii="Arial" w:hAnsi="Arial" w:cs="Arial"/>
                <w:sz w:val="22"/>
                <w:szCs w:val="22"/>
              </w:rPr>
              <w:t>T</w:t>
            </w:r>
            <w:r w:rsidRPr="00D40E65">
              <w:rPr>
                <w:rFonts w:ascii="Arial" w:hAnsi="Arial" w:cs="Arial"/>
                <w:sz w:val="22"/>
                <w:szCs w:val="22"/>
              </w:rPr>
              <w:t>S to find more value adding activities for its staff resources.</w:t>
            </w:r>
          </w:p>
          <w:p w:rsidR="00672521" w:rsidRPr="00D40E65" w:rsidRDefault="00672521" w:rsidP="00364ED2">
            <w:pPr>
              <w:rPr>
                <w:rFonts w:ascii="Arial" w:hAnsi="Arial" w:cs="Arial"/>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49" w:type="pct"/>
          </w:tcPr>
          <w:p w:rsidR="00ED0E87" w:rsidRDefault="00864559" w:rsidP="00364ED2">
            <w:pPr>
              <w:rPr>
                <w:rFonts w:ascii="Arial" w:hAnsi="Arial" w:cs="Arial"/>
                <w:sz w:val="22"/>
                <w:szCs w:val="22"/>
              </w:rPr>
            </w:pPr>
            <w:r>
              <w:rPr>
                <w:rFonts w:ascii="Arial" w:hAnsi="Arial" w:cs="Arial"/>
                <w:sz w:val="22"/>
                <w:szCs w:val="22"/>
              </w:rPr>
              <w:t>Fines Development Manager</w:t>
            </w:r>
          </w:p>
          <w:p w:rsidR="00672521" w:rsidRPr="00D40E65" w:rsidRDefault="00672521" w:rsidP="00364ED2">
            <w:pPr>
              <w:rPr>
                <w:rFonts w:ascii="Arial" w:hAnsi="Arial" w:cs="Arial"/>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49" w:type="pct"/>
          </w:tcPr>
          <w:p w:rsidR="00ED0E87" w:rsidRDefault="00ED0E87" w:rsidP="00364ED2">
            <w:pPr>
              <w:rPr>
                <w:rFonts w:ascii="Arial" w:hAnsi="Arial" w:cs="Arial"/>
                <w:sz w:val="22"/>
                <w:szCs w:val="22"/>
              </w:rPr>
            </w:pPr>
            <w:r w:rsidRPr="00D40E65">
              <w:rPr>
                <w:rFonts w:ascii="Arial" w:hAnsi="Arial" w:cs="Arial"/>
                <w:sz w:val="22"/>
                <w:szCs w:val="22"/>
              </w:rPr>
              <w:t>COP II for fines payment</w:t>
            </w:r>
          </w:p>
          <w:p w:rsidR="00672521" w:rsidRPr="00D40E65" w:rsidRDefault="00672521" w:rsidP="00364ED2">
            <w:pPr>
              <w:rPr>
                <w:rFonts w:ascii="Arial" w:hAnsi="Arial" w:cs="Arial"/>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49" w:type="pct"/>
          </w:tcPr>
          <w:p w:rsidR="00AE7E03" w:rsidRDefault="00ED0E87" w:rsidP="00364ED2">
            <w:pPr>
              <w:rPr>
                <w:rFonts w:ascii="Arial" w:hAnsi="Arial" w:cs="Arial"/>
                <w:sz w:val="22"/>
                <w:szCs w:val="22"/>
              </w:rPr>
            </w:pPr>
            <w:r>
              <w:rPr>
                <w:rFonts w:ascii="Arial" w:hAnsi="Arial" w:cs="Arial"/>
                <w:sz w:val="22"/>
                <w:szCs w:val="22"/>
              </w:rPr>
              <w:t>The n</w:t>
            </w:r>
            <w:r w:rsidRPr="00D40E65">
              <w:rPr>
                <w:rFonts w:ascii="Arial" w:hAnsi="Arial" w:cs="Arial"/>
                <w:sz w:val="22"/>
                <w:szCs w:val="22"/>
              </w:rPr>
              <w:t>umber of fines that are paid on line as a proportion of all fines that are paid in the quarter</w:t>
            </w:r>
            <w:r>
              <w:rPr>
                <w:rFonts w:ascii="Arial" w:hAnsi="Arial" w:cs="Arial"/>
                <w:sz w:val="22"/>
                <w:szCs w:val="22"/>
              </w:rPr>
              <w:t>. Fines for speeding and red light offences cannot be paid on line because the offender’s licence requires to be manually endorsed by the court and so are not included in the calculation. Some other road traffic offences can be either endorsed or not endorsed but these fine types are included because of the minimal impact on the data set and the disproportionate effort in identifying the difference.</w:t>
            </w:r>
          </w:p>
          <w:p w:rsidR="00ED0E87" w:rsidRPr="00D40E65" w:rsidRDefault="00ED0E87" w:rsidP="00364ED2">
            <w:pPr>
              <w:rPr>
                <w:rFonts w:ascii="Arial" w:hAnsi="Arial" w:cs="Arial"/>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49"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Red  </w:t>
            </w:r>
            <w:r w:rsidR="00B81250">
              <w:rPr>
                <w:rFonts w:ascii="Arial" w:hAnsi="Arial" w:cs="Arial"/>
                <w:sz w:val="22"/>
                <w:szCs w:val="22"/>
              </w:rPr>
              <w:t xml:space="preserve">     &lt; 15%</w:t>
            </w:r>
          </w:p>
          <w:p w:rsidR="00ED0E87" w:rsidRPr="00D40E65" w:rsidRDefault="00ED0E87" w:rsidP="00364ED2">
            <w:pPr>
              <w:rPr>
                <w:rFonts w:ascii="Arial" w:hAnsi="Arial" w:cs="Arial"/>
                <w:sz w:val="22"/>
                <w:szCs w:val="22"/>
              </w:rPr>
            </w:pPr>
            <w:r w:rsidRPr="00D40E65">
              <w:rPr>
                <w:rFonts w:ascii="Arial" w:hAnsi="Arial" w:cs="Arial"/>
                <w:sz w:val="22"/>
                <w:szCs w:val="22"/>
              </w:rPr>
              <w:t xml:space="preserve">Amber </w:t>
            </w:r>
            <w:r w:rsidR="00B81250">
              <w:rPr>
                <w:rFonts w:ascii="Arial" w:hAnsi="Arial" w:cs="Arial"/>
                <w:sz w:val="22"/>
                <w:szCs w:val="22"/>
              </w:rPr>
              <w:t xml:space="preserve">   15 to 20 %</w:t>
            </w:r>
          </w:p>
          <w:p w:rsidR="00ED0E87" w:rsidRDefault="00ED0E87" w:rsidP="00B81250">
            <w:pPr>
              <w:rPr>
                <w:rFonts w:ascii="Arial" w:hAnsi="Arial" w:cs="Arial"/>
                <w:sz w:val="22"/>
                <w:szCs w:val="22"/>
              </w:rPr>
            </w:pPr>
            <w:r w:rsidRPr="00D40E65">
              <w:rPr>
                <w:rFonts w:ascii="Arial" w:hAnsi="Arial" w:cs="Arial"/>
                <w:sz w:val="22"/>
                <w:szCs w:val="22"/>
              </w:rPr>
              <w:t xml:space="preserve">Green </w:t>
            </w:r>
            <w:r w:rsidR="00B81250">
              <w:rPr>
                <w:rFonts w:ascii="Arial" w:hAnsi="Arial" w:cs="Arial"/>
                <w:sz w:val="22"/>
                <w:szCs w:val="22"/>
              </w:rPr>
              <w:t xml:space="preserve">   &gt; 20%</w:t>
            </w:r>
          </w:p>
          <w:p w:rsidR="00AE7E03" w:rsidRPr="00D40E65" w:rsidRDefault="00AE7E03" w:rsidP="00B81250">
            <w:pPr>
              <w:rPr>
                <w:rFonts w:ascii="Arial" w:hAnsi="Arial" w:cs="Arial"/>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49" w:type="pct"/>
          </w:tcPr>
          <w:p w:rsidR="00ED0E87" w:rsidRDefault="00ED0E87" w:rsidP="00364ED2">
            <w:pPr>
              <w:rPr>
                <w:rFonts w:ascii="Arial" w:hAnsi="Arial" w:cs="Arial"/>
                <w:sz w:val="22"/>
                <w:szCs w:val="22"/>
              </w:rPr>
            </w:pPr>
            <w:r w:rsidRPr="00D40E65">
              <w:rPr>
                <w:rFonts w:ascii="Arial" w:hAnsi="Arial" w:cs="Arial"/>
                <w:sz w:val="22"/>
                <w:szCs w:val="22"/>
              </w:rPr>
              <w:t>Monthly</w:t>
            </w:r>
          </w:p>
          <w:p w:rsidR="00AE7E03" w:rsidRPr="00D40E65" w:rsidRDefault="00AE7E03" w:rsidP="00364ED2">
            <w:pPr>
              <w:rPr>
                <w:rFonts w:ascii="Arial" w:hAnsi="Arial" w:cs="Arial"/>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49"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AE7E03" w:rsidRPr="00D40E65" w:rsidRDefault="00AE7E03" w:rsidP="00364ED2">
            <w:pPr>
              <w:rPr>
                <w:rFonts w:ascii="Arial" w:hAnsi="Arial" w:cs="Arial"/>
                <w:sz w:val="22"/>
                <w:szCs w:val="22"/>
              </w:rPr>
            </w:pPr>
          </w:p>
        </w:tc>
      </w:tr>
      <w:tr w:rsidR="00ED0E87" w:rsidRPr="00D40E65" w:rsidTr="00364ED2">
        <w:tc>
          <w:tcPr>
            <w:tcW w:w="1951" w:type="pct"/>
          </w:tcPr>
          <w:p w:rsidR="00ED0E87" w:rsidRPr="00D40E65" w:rsidRDefault="00ED0E87" w:rsidP="00364ED2">
            <w:pPr>
              <w:rPr>
                <w:rFonts w:ascii="Arial" w:hAnsi="Arial" w:cs="Arial"/>
                <w:sz w:val="22"/>
                <w:szCs w:val="22"/>
              </w:rPr>
            </w:pPr>
            <w:r w:rsidRPr="00D40E65">
              <w:rPr>
                <w:rFonts w:ascii="Arial" w:hAnsi="Arial" w:cs="Arial"/>
                <w:sz w:val="22"/>
                <w:szCs w:val="22"/>
              </w:rPr>
              <w:t>Other Comments</w:t>
            </w:r>
          </w:p>
        </w:tc>
        <w:tc>
          <w:tcPr>
            <w:tcW w:w="3049" w:type="pct"/>
          </w:tcPr>
          <w:p w:rsidR="00ED0E87" w:rsidRDefault="00F03A3D" w:rsidP="00F03A3D">
            <w:pPr>
              <w:rPr>
                <w:rFonts w:ascii="Arial" w:hAnsi="Arial" w:cs="Arial"/>
                <w:sz w:val="22"/>
                <w:szCs w:val="22"/>
              </w:rPr>
            </w:pPr>
            <w:r>
              <w:rPr>
                <w:rFonts w:ascii="Arial" w:hAnsi="Arial" w:cs="Arial"/>
                <w:sz w:val="22"/>
                <w:szCs w:val="22"/>
              </w:rPr>
              <w:t>In 2014/15 Q1, the s</w:t>
            </w:r>
            <w:r w:rsidR="00ED0E87" w:rsidRPr="007F4774">
              <w:rPr>
                <w:rFonts w:ascii="Arial" w:hAnsi="Arial" w:cs="Arial"/>
                <w:sz w:val="22"/>
                <w:szCs w:val="22"/>
              </w:rPr>
              <w:t>uccess threshold for achievement of green criteria increased by 33% (from 15% of transactions paid on-line to 20%) in view of progress made.</w:t>
            </w:r>
            <w:r>
              <w:rPr>
                <w:rFonts w:ascii="Arial" w:hAnsi="Arial" w:cs="Arial"/>
                <w:sz w:val="22"/>
                <w:szCs w:val="22"/>
              </w:rPr>
              <w:t xml:space="preserve"> Amber and Red thresholds were adjusted accordingly.</w:t>
            </w:r>
          </w:p>
          <w:p w:rsidR="00AE7E03" w:rsidRPr="00D40E65" w:rsidRDefault="00AE7E03" w:rsidP="00F03A3D">
            <w:pPr>
              <w:rPr>
                <w:rFonts w:ascii="Arial" w:hAnsi="Arial" w:cs="Arial"/>
                <w:sz w:val="22"/>
                <w:szCs w:val="22"/>
              </w:rPr>
            </w:pPr>
          </w:p>
        </w:tc>
      </w:tr>
    </w:tbl>
    <w:p w:rsidR="00ED0E87" w:rsidRDefault="00ED0E87" w:rsidP="00ED0E87">
      <w:pPr>
        <w:rPr>
          <w:rFonts w:ascii="Arial" w:hAnsi="Arial" w:cs="Arial"/>
          <w:b/>
          <w:sz w:val="22"/>
          <w:szCs w:val="22"/>
        </w:rPr>
      </w:pPr>
    </w:p>
    <w:p w:rsidR="00AE7E03" w:rsidRDefault="00AE7E03" w:rsidP="00ED0E87">
      <w:pPr>
        <w:rPr>
          <w:rFonts w:ascii="Arial" w:hAnsi="Arial" w:cs="Arial"/>
          <w:b/>
          <w:sz w:val="22"/>
          <w:szCs w:val="22"/>
        </w:rPr>
        <w:sectPr w:rsidR="00AE7E03">
          <w:pgSz w:w="11906" w:h="16838"/>
          <w:pgMar w:top="1440" w:right="1800" w:bottom="1440" w:left="1800" w:header="708" w:footer="708" w:gutter="0"/>
          <w:cols w:space="708"/>
          <w:docGrid w:linePitch="360"/>
        </w:sectPr>
      </w:pPr>
    </w:p>
    <w:p w:rsidR="00B81250" w:rsidRDefault="00B81250" w:rsidP="00ED0E87">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351997" w:rsidRPr="00D40E65" w:rsidTr="00656CD8">
        <w:tc>
          <w:tcPr>
            <w:tcW w:w="1927" w:type="pct"/>
            <w:shd w:val="clear" w:color="auto" w:fill="0FC1A3"/>
          </w:tcPr>
          <w:p w:rsidR="00351997" w:rsidRPr="00D40E65" w:rsidRDefault="00351997" w:rsidP="00162868">
            <w:pPr>
              <w:rPr>
                <w:rFonts w:ascii="Arial" w:hAnsi="Arial" w:cs="Arial"/>
                <w:b/>
                <w:sz w:val="22"/>
                <w:szCs w:val="22"/>
              </w:rPr>
            </w:pPr>
            <w:r w:rsidRPr="00D57289">
              <w:rPr>
                <w:rFonts w:ascii="Arial" w:hAnsi="Arial" w:cs="Arial"/>
                <w:b/>
                <w:szCs w:val="22"/>
              </w:rPr>
              <w:t>Strategic Priority 6</w:t>
            </w:r>
          </w:p>
        </w:tc>
        <w:tc>
          <w:tcPr>
            <w:tcW w:w="3073" w:type="pct"/>
            <w:shd w:val="clear" w:color="auto" w:fill="0FC1A3"/>
          </w:tcPr>
          <w:p w:rsidR="00351997" w:rsidRPr="00D40E65" w:rsidRDefault="00351997" w:rsidP="00351997">
            <w:pPr>
              <w:rPr>
                <w:rFonts w:ascii="Arial" w:hAnsi="Arial" w:cs="Arial"/>
                <w:b/>
                <w:sz w:val="22"/>
                <w:szCs w:val="22"/>
              </w:rPr>
            </w:pPr>
            <w:r w:rsidRPr="00D57289">
              <w:rPr>
                <w:rFonts w:ascii="Arial" w:hAnsi="Arial" w:cs="Arial"/>
                <w:b/>
                <w:szCs w:val="22"/>
              </w:rPr>
              <w:t>Digital Innovation</w:t>
            </w:r>
          </w:p>
        </w:tc>
      </w:tr>
      <w:tr w:rsidR="00ED0E87" w:rsidRPr="00D40E65" w:rsidTr="00364ED2">
        <w:tc>
          <w:tcPr>
            <w:tcW w:w="1927" w:type="pct"/>
          </w:tcPr>
          <w:p w:rsidR="00ED0E87" w:rsidRDefault="00ED0E87" w:rsidP="00961512">
            <w:pPr>
              <w:rPr>
                <w:rFonts w:ascii="Arial" w:hAnsi="Arial" w:cs="Arial"/>
                <w:b/>
                <w:sz w:val="22"/>
                <w:szCs w:val="22"/>
              </w:rPr>
            </w:pPr>
            <w:r>
              <w:rPr>
                <w:rFonts w:ascii="Arial" w:hAnsi="Arial" w:cs="Arial"/>
                <w:b/>
                <w:sz w:val="22"/>
                <w:szCs w:val="22"/>
              </w:rPr>
              <w:t>Measure</w:t>
            </w:r>
            <w:r w:rsidRPr="00DB6723">
              <w:rPr>
                <w:rFonts w:ascii="Arial" w:hAnsi="Arial" w:cs="Arial"/>
                <w:b/>
                <w:sz w:val="22"/>
                <w:szCs w:val="22"/>
              </w:rPr>
              <w:t xml:space="preserve"> 6</w:t>
            </w:r>
            <w:r w:rsidR="006A6D8B">
              <w:rPr>
                <w:rFonts w:ascii="Arial" w:hAnsi="Arial" w:cs="Arial"/>
                <w:b/>
                <w:sz w:val="22"/>
                <w:szCs w:val="22"/>
              </w:rPr>
              <w:t>(</w:t>
            </w:r>
            <w:r>
              <w:rPr>
                <w:rFonts w:ascii="Arial" w:hAnsi="Arial" w:cs="Arial"/>
                <w:b/>
                <w:sz w:val="22"/>
                <w:szCs w:val="22"/>
              </w:rPr>
              <w:t>b</w:t>
            </w:r>
            <w:r w:rsidR="006A6D8B">
              <w:rPr>
                <w:rFonts w:ascii="Arial" w:hAnsi="Arial" w:cs="Arial"/>
                <w:b/>
                <w:sz w:val="22"/>
                <w:szCs w:val="22"/>
              </w:rPr>
              <w:t>)</w:t>
            </w:r>
          </w:p>
        </w:tc>
        <w:tc>
          <w:tcPr>
            <w:tcW w:w="3073" w:type="pct"/>
          </w:tcPr>
          <w:p w:rsidR="00ED0E87" w:rsidRDefault="00ED0E87" w:rsidP="00364ED2">
            <w:pPr>
              <w:rPr>
                <w:rFonts w:ascii="Arial" w:hAnsi="Arial" w:cs="Arial"/>
                <w:b/>
                <w:sz w:val="22"/>
                <w:szCs w:val="22"/>
              </w:rPr>
            </w:pPr>
            <w:r w:rsidRPr="00DB6723">
              <w:rPr>
                <w:rFonts w:ascii="Arial" w:hAnsi="Arial" w:cs="Arial"/>
                <w:b/>
                <w:sz w:val="22"/>
                <w:szCs w:val="22"/>
              </w:rPr>
              <w:t>Availability of core IT systems</w:t>
            </w:r>
          </w:p>
          <w:p w:rsidR="00AE7E03" w:rsidRPr="00D40E65" w:rsidRDefault="00AE7E03" w:rsidP="00364ED2">
            <w:pPr>
              <w:rPr>
                <w:rFonts w:ascii="Arial" w:hAnsi="Arial" w:cs="Arial"/>
                <w:b/>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Availability of core IT systems to users including COP II, CMS, Sigma (OPG) and e-mail during the working hours of 06:45 to 19:15</w:t>
            </w:r>
          </w:p>
          <w:p w:rsidR="00AE7E03" w:rsidRPr="00D40E65" w:rsidRDefault="00AE7E03"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4856C1" w:rsidRDefault="004856C1" w:rsidP="004856C1">
            <w:pPr>
              <w:rPr>
                <w:rFonts w:ascii="Arial" w:hAnsi="Arial" w:cs="Arial"/>
                <w:sz w:val="22"/>
                <w:szCs w:val="22"/>
              </w:rPr>
            </w:pPr>
          </w:p>
          <w:p w:rsidR="00ED0E87" w:rsidRPr="00D40E65" w:rsidRDefault="00ED0E87" w:rsidP="004856C1">
            <w:pPr>
              <w:rPr>
                <w:rFonts w:ascii="Arial" w:hAnsi="Arial" w:cs="Arial"/>
                <w:sz w:val="22"/>
                <w:szCs w:val="22"/>
              </w:rPr>
            </w:pP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The availability of core IT systems is crucial to providing a seamless service in court and at counters and in enabling the SC</w:t>
            </w:r>
            <w:r w:rsidR="00844A89">
              <w:rPr>
                <w:rFonts w:ascii="Arial" w:hAnsi="Arial" w:cs="Arial"/>
                <w:sz w:val="22"/>
                <w:szCs w:val="22"/>
              </w:rPr>
              <w:t>T</w:t>
            </w:r>
            <w:r w:rsidRPr="00D40E65">
              <w:rPr>
                <w:rFonts w:ascii="Arial" w:hAnsi="Arial" w:cs="Arial"/>
                <w:sz w:val="22"/>
                <w:szCs w:val="22"/>
              </w:rPr>
              <w:t>S to fulfil its responsibilities to allow data to flow electronically around the justice system.</w:t>
            </w:r>
          </w:p>
          <w:p w:rsidR="00AE7E03" w:rsidRPr="00D40E65" w:rsidRDefault="00AE7E03"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This indicator will demonstrate the reliability of the SC</w:t>
            </w:r>
            <w:r w:rsidR="00844A89">
              <w:rPr>
                <w:rFonts w:ascii="Arial" w:hAnsi="Arial" w:cs="Arial"/>
                <w:sz w:val="22"/>
                <w:szCs w:val="22"/>
              </w:rPr>
              <w:t>T</w:t>
            </w:r>
            <w:r w:rsidRPr="00D40E65">
              <w:rPr>
                <w:rFonts w:ascii="Arial" w:hAnsi="Arial" w:cs="Arial"/>
                <w:sz w:val="22"/>
                <w:szCs w:val="22"/>
              </w:rPr>
              <w:t>S IT network platform and applications and consequently how well the IT infrastructure is supporting service delivery</w:t>
            </w:r>
            <w:r>
              <w:rPr>
                <w:rFonts w:ascii="Arial" w:hAnsi="Arial" w:cs="Arial"/>
                <w:sz w:val="22"/>
                <w:szCs w:val="22"/>
              </w:rPr>
              <w:t>.</w:t>
            </w:r>
          </w:p>
          <w:p w:rsidR="00AE7E03" w:rsidRPr="00D40E65" w:rsidRDefault="00AE7E03"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Director Information and Communication Technology</w:t>
            </w:r>
          </w:p>
          <w:p w:rsidR="00AE7E03" w:rsidRPr="00D40E65" w:rsidRDefault="00AE7E03"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Service failures reported to IT and outages identified by IT monitoring systems</w:t>
            </w:r>
          </w:p>
          <w:p w:rsidR="00AE7E03" w:rsidRPr="00D40E65" w:rsidRDefault="00AE7E03"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 xml:space="preserve">The amount of hours each of the 4 main IT systems (COPII, CMS, Sigma and e mail) are unavailable per </w:t>
            </w:r>
            <w:r>
              <w:rPr>
                <w:rFonts w:ascii="Arial" w:hAnsi="Arial" w:cs="Arial"/>
                <w:sz w:val="22"/>
                <w:szCs w:val="22"/>
              </w:rPr>
              <w:t>site</w:t>
            </w:r>
            <w:r w:rsidRPr="00D40E65">
              <w:rPr>
                <w:rFonts w:ascii="Arial" w:hAnsi="Arial" w:cs="Arial"/>
                <w:sz w:val="22"/>
                <w:szCs w:val="22"/>
              </w:rPr>
              <w:t xml:space="preserve"> as a proportion of the total hours required in the quarter. </w:t>
            </w:r>
            <w:r>
              <w:rPr>
                <w:rFonts w:ascii="Arial" w:hAnsi="Arial" w:cs="Arial"/>
                <w:sz w:val="22"/>
                <w:szCs w:val="22"/>
              </w:rPr>
              <w:t>This is then weighted on the basis of court workload measured in case loads to balance the impact of the failure on service delivery across the country.</w:t>
            </w:r>
          </w:p>
          <w:p w:rsidR="00AE7E03" w:rsidRPr="00D40E65" w:rsidRDefault="00AE7E03"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ED0E87" w:rsidRPr="00D40E65" w:rsidRDefault="00ED0E87" w:rsidP="00364ED2">
            <w:pPr>
              <w:rPr>
                <w:rFonts w:ascii="Arial" w:hAnsi="Arial" w:cs="Arial"/>
                <w:sz w:val="22"/>
                <w:szCs w:val="22"/>
              </w:rPr>
            </w:pPr>
            <w:r w:rsidRPr="00D40E65">
              <w:rPr>
                <w:rFonts w:ascii="Arial" w:hAnsi="Arial" w:cs="Arial"/>
                <w:sz w:val="22"/>
                <w:szCs w:val="22"/>
              </w:rPr>
              <w:t>Red &lt;9</w:t>
            </w:r>
            <w:r w:rsidR="00844A89">
              <w:rPr>
                <w:rFonts w:ascii="Arial" w:hAnsi="Arial" w:cs="Arial"/>
                <w:sz w:val="22"/>
                <w:szCs w:val="22"/>
              </w:rPr>
              <w:t>8</w:t>
            </w:r>
            <w:r w:rsidRPr="00D40E65">
              <w:rPr>
                <w:rFonts w:ascii="Arial" w:hAnsi="Arial" w:cs="Arial"/>
                <w:sz w:val="22"/>
                <w:szCs w:val="22"/>
              </w:rPr>
              <w:t>%</w:t>
            </w:r>
          </w:p>
          <w:p w:rsidR="00ED0E87" w:rsidRPr="00D40E65" w:rsidRDefault="00ED0E87" w:rsidP="00364ED2">
            <w:pPr>
              <w:rPr>
                <w:rFonts w:ascii="Arial" w:hAnsi="Arial" w:cs="Arial"/>
                <w:sz w:val="22"/>
                <w:szCs w:val="22"/>
              </w:rPr>
            </w:pPr>
            <w:r w:rsidRPr="00D40E65">
              <w:rPr>
                <w:rFonts w:ascii="Arial" w:hAnsi="Arial" w:cs="Arial"/>
                <w:sz w:val="22"/>
                <w:szCs w:val="22"/>
              </w:rPr>
              <w:t>Amber 9</w:t>
            </w:r>
            <w:r w:rsidR="00844A89">
              <w:rPr>
                <w:rFonts w:ascii="Arial" w:hAnsi="Arial" w:cs="Arial"/>
                <w:sz w:val="22"/>
                <w:szCs w:val="22"/>
              </w:rPr>
              <w:t>8</w:t>
            </w:r>
            <w:r w:rsidRPr="00D40E65">
              <w:rPr>
                <w:rFonts w:ascii="Arial" w:hAnsi="Arial" w:cs="Arial"/>
                <w:sz w:val="22"/>
                <w:szCs w:val="22"/>
              </w:rPr>
              <w:t>% - 9</w:t>
            </w:r>
            <w:r w:rsidR="00844A89">
              <w:rPr>
                <w:rFonts w:ascii="Arial" w:hAnsi="Arial" w:cs="Arial"/>
                <w:sz w:val="22"/>
                <w:szCs w:val="22"/>
              </w:rPr>
              <w:t>9</w:t>
            </w:r>
            <w:r w:rsidRPr="00D40E65">
              <w:rPr>
                <w:rFonts w:ascii="Arial" w:hAnsi="Arial" w:cs="Arial"/>
                <w:sz w:val="22"/>
                <w:szCs w:val="22"/>
              </w:rPr>
              <w:t>%</w:t>
            </w:r>
          </w:p>
          <w:p w:rsidR="00ED0E87" w:rsidRDefault="00ED0E87" w:rsidP="00364ED2">
            <w:pPr>
              <w:rPr>
                <w:rFonts w:ascii="Arial" w:hAnsi="Arial" w:cs="Arial"/>
                <w:sz w:val="22"/>
                <w:szCs w:val="22"/>
              </w:rPr>
            </w:pPr>
            <w:r w:rsidRPr="00D40E65">
              <w:rPr>
                <w:rFonts w:ascii="Arial" w:hAnsi="Arial" w:cs="Arial"/>
                <w:sz w:val="22"/>
                <w:szCs w:val="22"/>
              </w:rPr>
              <w:t>Green&gt;9</w:t>
            </w:r>
            <w:r w:rsidR="00844A89">
              <w:rPr>
                <w:rFonts w:ascii="Arial" w:hAnsi="Arial" w:cs="Arial"/>
                <w:sz w:val="22"/>
                <w:szCs w:val="22"/>
              </w:rPr>
              <w:t>9</w:t>
            </w:r>
            <w:r w:rsidRPr="00D40E65">
              <w:rPr>
                <w:rFonts w:ascii="Arial" w:hAnsi="Arial" w:cs="Arial"/>
                <w:sz w:val="22"/>
                <w:szCs w:val="22"/>
              </w:rPr>
              <w:t>%</w:t>
            </w:r>
          </w:p>
          <w:p w:rsidR="00AE7E03" w:rsidRPr="00D40E65" w:rsidRDefault="00AE7E03"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Monthly</w:t>
            </w:r>
          </w:p>
          <w:p w:rsidR="00AE7E03" w:rsidRPr="00D40E65" w:rsidRDefault="00AE7E03"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AE7E03" w:rsidRPr="00D40E65" w:rsidRDefault="00AE7E03"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Other Comments</w:t>
            </w:r>
          </w:p>
        </w:tc>
        <w:tc>
          <w:tcPr>
            <w:tcW w:w="3073" w:type="pct"/>
          </w:tcPr>
          <w:p w:rsidR="00ED0E87" w:rsidRDefault="00D629E7" w:rsidP="00844A89">
            <w:pPr>
              <w:rPr>
                <w:rFonts w:ascii="Arial" w:hAnsi="Arial" w:cs="Arial"/>
                <w:sz w:val="22"/>
                <w:szCs w:val="22"/>
              </w:rPr>
            </w:pPr>
            <w:r>
              <w:rPr>
                <w:rFonts w:ascii="Arial" w:hAnsi="Arial" w:cs="Arial"/>
                <w:sz w:val="22"/>
                <w:szCs w:val="22"/>
              </w:rPr>
              <w:t>The RAG criteria for this indicator were made more challenging in 2014-</w:t>
            </w:r>
            <w:proofErr w:type="gramStart"/>
            <w:r>
              <w:rPr>
                <w:rFonts w:ascii="Arial" w:hAnsi="Arial" w:cs="Arial"/>
                <w:sz w:val="22"/>
                <w:szCs w:val="22"/>
              </w:rPr>
              <w:t>15,</w:t>
            </w:r>
            <w:proofErr w:type="gramEnd"/>
            <w:r>
              <w:rPr>
                <w:rFonts w:ascii="Arial" w:hAnsi="Arial" w:cs="Arial"/>
                <w:sz w:val="22"/>
                <w:szCs w:val="22"/>
              </w:rPr>
              <w:t xml:space="preserve"> in recognition of consistently high levels of system availability</w:t>
            </w:r>
            <w:r w:rsidR="004A7F91">
              <w:rPr>
                <w:rFonts w:ascii="Arial" w:hAnsi="Arial" w:cs="Arial"/>
                <w:sz w:val="22"/>
                <w:szCs w:val="22"/>
              </w:rPr>
              <w:t xml:space="preserve"> (previous thresholds were under 95% for red, 95 to 98% for amber and over 98% for green).</w:t>
            </w:r>
          </w:p>
          <w:p w:rsidR="00844A89" w:rsidRPr="00D40E65" w:rsidRDefault="00844A89" w:rsidP="00844A89">
            <w:pPr>
              <w:rPr>
                <w:rFonts w:ascii="Arial" w:hAnsi="Arial" w:cs="Arial"/>
                <w:sz w:val="22"/>
                <w:szCs w:val="22"/>
              </w:rPr>
            </w:pPr>
          </w:p>
        </w:tc>
      </w:tr>
    </w:tbl>
    <w:p w:rsidR="009228B9" w:rsidRDefault="009228B9" w:rsidP="00ED0E87">
      <w:pPr>
        <w:rPr>
          <w:rFonts w:ascii="Arial" w:hAnsi="Arial" w:cs="Arial"/>
          <w:sz w:val="22"/>
          <w:szCs w:val="22"/>
        </w:rPr>
      </w:pPr>
    </w:p>
    <w:p w:rsidR="00315250" w:rsidRDefault="00315250" w:rsidP="00ED0E87">
      <w:pPr>
        <w:rPr>
          <w:rFonts w:ascii="Arial" w:hAnsi="Arial" w:cs="Arial"/>
          <w:sz w:val="22"/>
          <w:szCs w:val="22"/>
        </w:rPr>
        <w:sectPr w:rsidR="00315250">
          <w:pgSz w:w="11906" w:h="16838"/>
          <w:pgMar w:top="1440" w:right="1800" w:bottom="1440" w:left="1800" w:header="708" w:footer="708" w:gutter="0"/>
          <w:cols w:space="708"/>
          <w:docGrid w:linePitch="360"/>
        </w:sectPr>
      </w:pPr>
    </w:p>
    <w:p w:rsidR="00ED0E87" w:rsidRPr="00D40E65" w:rsidRDefault="00ED0E87"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ED0E87" w:rsidRPr="00D40E65" w:rsidTr="00351997">
        <w:tc>
          <w:tcPr>
            <w:tcW w:w="1927" w:type="pct"/>
            <w:shd w:val="clear" w:color="auto" w:fill="0FC1A3"/>
          </w:tcPr>
          <w:p w:rsidR="00ED0E87" w:rsidRPr="00D40E65" w:rsidRDefault="00ED0E87" w:rsidP="00364ED2">
            <w:pPr>
              <w:rPr>
                <w:rFonts w:ascii="Arial" w:hAnsi="Arial" w:cs="Arial"/>
                <w:b/>
                <w:sz w:val="22"/>
                <w:szCs w:val="22"/>
              </w:rPr>
            </w:pPr>
            <w:r w:rsidRPr="00D57289">
              <w:rPr>
                <w:rFonts w:ascii="Arial" w:hAnsi="Arial" w:cs="Arial"/>
                <w:b/>
                <w:szCs w:val="22"/>
              </w:rPr>
              <w:t>Strategic Priority 7</w:t>
            </w:r>
          </w:p>
        </w:tc>
        <w:tc>
          <w:tcPr>
            <w:tcW w:w="3073" w:type="pct"/>
            <w:shd w:val="clear" w:color="auto" w:fill="0FC1A3"/>
          </w:tcPr>
          <w:p w:rsidR="00ED0E87" w:rsidRPr="00D40E65" w:rsidRDefault="00ED0E87" w:rsidP="009113CF">
            <w:pPr>
              <w:rPr>
                <w:rFonts w:ascii="Arial" w:hAnsi="Arial" w:cs="Arial"/>
                <w:b/>
                <w:sz w:val="22"/>
                <w:szCs w:val="22"/>
              </w:rPr>
            </w:pPr>
            <w:r w:rsidRPr="00D57289">
              <w:rPr>
                <w:rFonts w:ascii="Arial" w:hAnsi="Arial" w:cs="Arial"/>
                <w:b/>
                <w:szCs w:val="22"/>
              </w:rPr>
              <w:t xml:space="preserve">Purposeful Collaboration with </w:t>
            </w:r>
            <w:r w:rsidR="009113CF">
              <w:rPr>
                <w:rFonts w:ascii="Arial" w:hAnsi="Arial" w:cs="Arial"/>
                <w:b/>
                <w:szCs w:val="22"/>
              </w:rPr>
              <w:t>Partners</w:t>
            </w:r>
          </w:p>
        </w:tc>
      </w:tr>
      <w:tr w:rsidR="00ED0E87" w:rsidRPr="00D40E65" w:rsidTr="00364ED2">
        <w:tc>
          <w:tcPr>
            <w:tcW w:w="1927" w:type="pct"/>
          </w:tcPr>
          <w:p w:rsidR="00ED0E87" w:rsidRPr="00DB6723" w:rsidRDefault="00ED0E87" w:rsidP="00364ED2">
            <w:pPr>
              <w:rPr>
                <w:rFonts w:ascii="Arial" w:hAnsi="Arial" w:cs="Arial"/>
                <w:b/>
                <w:sz w:val="22"/>
                <w:szCs w:val="22"/>
              </w:rPr>
            </w:pPr>
            <w:r>
              <w:rPr>
                <w:rFonts w:ascii="Arial" w:hAnsi="Arial" w:cs="Arial"/>
                <w:b/>
                <w:sz w:val="22"/>
                <w:szCs w:val="22"/>
              </w:rPr>
              <w:t>Measure 7</w:t>
            </w:r>
            <w:r w:rsidR="006A6D8B">
              <w:rPr>
                <w:rFonts w:ascii="Arial" w:hAnsi="Arial" w:cs="Arial"/>
                <w:b/>
                <w:sz w:val="22"/>
                <w:szCs w:val="22"/>
              </w:rPr>
              <w:t>(</w:t>
            </w:r>
            <w:r>
              <w:rPr>
                <w:rFonts w:ascii="Arial" w:hAnsi="Arial" w:cs="Arial"/>
                <w:b/>
                <w:sz w:val="22"/>
                <w:szCs w:val="22"/>
              </w:rPr>
              <w:t>a</w:t>
            </w:r>
            <w:r w:rsidR="006A6D8B">
              <w:rPr>
                <w:rFonts w:ascii="Arial" w:hAnsi="Arial" w:cs="Arial"/>
                <w:b/>
                <w:sz w:val="22"/>
                <w:szCs w:val="22"/>
              </w:rPr>
              <w:t>)</w:t>
            </w:r>
          </w:p>
        </w:tc>
        <w:tc>
          <w:tcPr>
            <w:tcW w:w="3073" w:type="pct"/>
          </w:tcPr>
          <w:p w:rsidR="00ED0E87" w:rsidRDefault="00ED0E87" w:rsidP="00364ED2">
            <w:pPr>
              <w:rPr>
                <w:rFonts w:ascii="Arial" w:hAnsi="Arial" w:cs="Arial"/>
                <w:b/>
                <w:sz w:val="22"/>
                <w:szCs w:val="22"/>
              </w:rPr>
            </w:pPr>
            <w:r w:rsidRPr="00B352FC">
              <w:rPr>
                <w:rFonts w:ascii="Arial" w:hAnsi="Arial" w:cs="Arial"/>
                <w:b/>
                <w:sz w:val="22"/>
                <w:szCs w:val="22"/>
              </w:rPr>
              <w:t>Sufficient and effective collaboration over period</w:t>
            </w: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Default="00BF5404" w:rsidP="00364ED2">
            <w:pPr>
              <w:rPr>
                <w:rFonts w:ascii="Arial" w:hAnsi="Arial" w:cs="Arial"/>
                <w:sz w:val="22"/>
                <w:szCs w:val="22"/>
              </w:rPr>
            </w:pPr>
            <w:r w:rsidRPr="00BF5404">
              <w:rPr>
                <w:rFonts w:ascii="Arial" w:hAnsi="Arial" w:cs="Arial"/>
                <w:sz w:val="22"/>
                <w:szCs w:val="22"/>
              </w:rPr>
              <w:t>An analysis of the overall quality and quantity of collaboration between the SC</w:t>
            </w:r>
            <w:r w:rsidR="00844A89">
              <w:rPr>
                <w:rFonts w:ascii="Arial" w:hAnsi="Arial" w:cs="Arial"/>
                <w:sz w:val="22"/>
                <w:szCs w:val="22"/>
              </w:rPr>
              <w:t>T</w:t>
            </w:r>
            <w:r w:rsidRPr="00BF5404">
              <w:rPr>
                <w:rFonts w:ascii="Arial" w:hAnsi="Arial" w:cs="Arial"/>
                <w:sz w:val="22"/>
                <w:szCs w:val="22"/>
              </w:rPr>
              <w:t>S and key partner agencies (e.g. Government, Police, COPFS, Legal Aid, victims groups).</w:t>
            </w:r>
          </w:p>
          <w:p w:rsidR="00BF5404" w:rsidRPr="00BF5404" w:rsidRDefault="00BF5404"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4856C1" w:rsidRDefault="004856C1" w:rsidP="00364ED2">
            <w:pPr>
              <w:ind w:left="720"/>
              <w:rPr>
                <w:rFonts w:ascii="Arial" w:hAnsi="Arial" w:cs="Arial"/>
                <w:sz w:val="22"/>
                <w:szCs w:val="22"/>
              </w:rPr>
            </w:pPr>
          </w:p>
          <w:p w:rsidR="00ED0E87" w:rsidRPr="00D40E65" w:rsidRDefault="00ED0E87" w:rsidP="004856C1">
            <w:pPr>
              <w:rPr>
                <w:rFonts w:ascii="Arial" w:hAnsi="Arial" w:cs="Arial"/>
                <w:sz w:val="22"/>
                <w:szCs w:val="22"/>
              </w:rPr>
            </w:pPr>
          </w:p>
        </w:tc>
        <w:tc>
          <w:tcPr>
            <w:tcW w:w="3073" w:type="pct"/>
          </w:tcPr>
          <w:p w:rsidR="00BF5404" w:rsidRDefault="00BF5404" w:rsidP="00BF5404">
            <w:pPr>
              <w:rPr>
                <w:rFonts w:ascii="Arial" w:hAnsi="Arial" w:cs="Arial"/>
                <w:sz w:val="22"/>
                <w:szCs w:val="22"/>
              </w:rPr>
            </w:pPr>
            <w:r w:rsidRPr="00BF5404">
              <w:rPr>
                <w:rFonts w:ascii="Arial" w:hAnsi="Arial" w:cs="Arial"/>
                <w:sz w:val="22"/>
                <w:szCs w:val="22"/>
              </w:rPr>
              <w:t xml:space="preserve">Measuring collaboration is challenging, because it entails both a quantitative (how much) and qualitative (how beneficial) element.  Rather than develop a complex metric which may or may not successfully assess current levels of collaboration this measure is </w:t>
            </w:r>
            <w:r>
              <w:rPr>
                <w:rFonts w:ascii="Arial" w:hAnsi="Arial" w:cs="Arial"/>
                <w:sz w:val="22"/>
                <w:szCs w:val="22"/>
              </w:rPr>
              <w:t>assessed by the SC</w:t>
            </w:r>
            <w:r w:rsidR="00844A89">
              <w:rPr>
                <w:rFonts w:ascii="Arial" w:hAnsi="Arial" w:cs="Arial"/>
                <w:sz w:val="22"/>
                <w:szCs w:val="22"/>
              </w:rPr>
              <w:t>T</w:t>
            </w:r>
            <w:r>
              <w:rPr>
                <w:rFonts w:ascii="Arial" w:hAnsi="Arial" w:cs="Arial"/>
                <w:sz w:val="22"/>
                <w:szCs w:val="22"/>
              </w:rPr>
              <w:t xml:space="preserve">S </w:t>
            </w:r>
            <w:r w:rsidR="00D66C98">
              <w:rPr>
                <w:rFonts w:ascii="Arial" w:hAnsi="Arial" w:cs="Arial"/>
                <w:sz w:val="22"/>
                <w:szCs w:val="22"/>
              </w:rPr>
              <w:t>Executive</w:t>
            </w:r>
            <w:r>
              <w:rPr>
                <w:rFonts w:ascii="Arial" w:hAnsi="Arial" w:cs="Arial"/>
                <w:sz w:val="22"/>
                <w:szCs w:val="22"/>
              </w:rPr>
              <w:t xml:space="preserve"> Team considering</w:t>
            </w:r>
            <w:r w:rsidRPr="00BF5404">
              <w:rPr>
                <w:rFonts w:ascii="Arial" w:hAnsi="Arial" w:cs="Arial"/>
                <w:sz w:val="22"/>
                <w:szCs w:val="22"/>
              </w:rPr>
              <w:t xml:space="preserve"> the current state of collaboration</w:t>
            </w:r>
            <w:r>
              <w:rPr>
                <w:rFonts w:ascii="Arial" w:hAnsi="Arial" w:cs="Arial"/>
                <w:sz w:val="22"/>
                <w:szCs w:val="22"/>
              </w:rPr>
              <w:t xml:space="preserve">. </w:t>
            </w:r>
          </w:p>
          <w:p w:rsidR="00BF5404" w:rsidRDefault="00BF5404" w:rsidP="00BF5404">
            <w:pPr>
              <w:rPr>
                <w:rFonts w:ascii="Arial" w:hAnsi="Arial" w:cs="Arial"/>
                <w:sz w:val="22"/>
                <w:szCs w:val="22"/>
              </w:rPr>
            </w:pPr>
          </w:p>
          <w:p w:rsidR="00ED0E87" w:rsidRPr="00BF5404" w:rsidRDefault="00BF5404" w:rsidP="00BF5404">
            <w:pPr>
              <w:rPr>
                <w:rFonts w:ascii="Arial" w:hAnsi="Arial" w:cs="Arial"/>
                <w:sz w:val="22"/>
                <w:szCs w:val="22"/>
              </w:rPr>
            </w:pPr>
            <w:r>
              <w:rPr>
                <w:rFonts w:ascii="Arial" w:hAnsi="Arial" w:cs="Arial"/>
                <w:sz w:val="22"/>
                <w:szCs w:val="22"/>
              </w:rPr>
              <w:t>A</w:t>
            </w:r>
            <w:r w:rsidRPr="00BF5404">
              <w:rPr>
                <w:rFonts w:ascii="Arial" w:hAnsi="Arial" w:cs="Arial"/>
                <w:sz w:val="22"/>
                <w:szCs w:val="22"/>
              </w:rPr>
              <w:t xml:space="preserve"> commentary </w:t>
            </w:r>
            <w:r>
              <w:rPr>
                <w:rFonts w:ascii="Arial" w:hAnsi="Arial" w:cs="Arial"/>
                <w:sz w:val="22"/>
                <w:szCs w:val="22"/>
              </w:rPr>
              <w:t>summarising the</w:t>
            </w:r>
            <w:r w:rsidRPr="00BF5404">
              <w:rPr>
                <w:rFonts w:ascii="Arial" w:hAnsi="Arial" w:cs="Arial"/>
                <w:sz w:val="22"/>
                <w:szCs w:val="22"/>
              </w:rPr>
              <w:t xml:space="preserve"> progress made in collaborative work and </w:t>
            </w:r>
            <w:r>
              <w:rPr>
                <w:rFonts w:ascii="Arial" w:hAnsi="Arial" w:cs="Arial"/>
                <w:sz w:val="22"/>
                <w:szCs w:val="22"/>
              </w:rPr>
              <w:t xml:space="preserve">giving </w:t>
            </w:r>
            <w:r w:rsidRPr="00BF5404">
              <w:rPr>
                <w:rFonts w:ascii="Arial" w:hAnsi="Arial" w:cs="Arial"/>
                <w:sz w:val="22"/>
                <w:szCs w:val="22"/>
              </w:rPr>
              <w:t xml:space="preserve">the justification for the red/amber/green rating </w:t>
            </w:r>
            <w:r>
              <w:rPr>
                <w:rFonts w:ascii="Arial" w:hAnsi="Arial" w:cs="Arial"/>
                <w:sz w:val="22"/>
                <w:szCs w:val="22"/>
              </w:rPr>
              <w:t>will be provided in</w:t>
            </w:r>
            <w:r w:rsidRPr="00BF5404">
              <w:rPr>
                <w:rFonts w:ascii="Arial" w:hAnsi="Arial" w:cs="Arial"/>
                <w:sz w:val="22"/>
                <w:szCs w:val="22"/>
              </w:rPr>
              <w:t xml:space="preserve"> the scorecard</w:t>
            </w:r>
            <w:r>
              <w:rPr>
                <w:rFonts w:ascii="Arial" w:hAnsi="Arial" w:cs="Arial"/>
                <w:sz w:val="22"/>
                <w:szCs w:val="22"/>
              </w:rPr>
              <w:t xml:space="preserve"> – and the SC</w:t>
            </w:r>
            <w:r w:rsidR="00844A89">
              <w:rPr>
                <w:rFonts w:ascii="Arial" w:hAnsi="Arial" w:cs="Arial"/>
                <w:sz w:val="22"/>
                <w:szCs w:val="22"/>
              </w:rPr>
              <w:t>T</w:t>
            </w:r>
            <w:r>
              <w:rPr>
                <w:rFonts w:ascii="Arial" w:hAnsi="Arial" w:cs="Arial"/>
                <w:sz w:val="22"/>
                <w:szCs w:val="22"/>
              </w:rPr>
              <w:t>S Board will have the opportunity to consider the assessment and commentary.</w:t>
            </w:r>
          </w:p>
          <w:p w:rsidR="00BF5404" w:rsidRPr="00BF5404" w:rsidRDefault="00BF5404" w:rsidP="00BF5404">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ED0E87" w:rsidRDefault="00ED0E87" w:rsidP="00364ED2">
            <w:pPr>
              <w:rPr>
                <w:rFonts w:ascii="Arial" w:hAnsi="Arial" w:cs="Arial"/>
                <w:sz w:val="22"/>
                <w:szCs w:val="22"/>
              </w:rPr>
            </w:pPr>
            <w:r w:rsidRPr="00E37F1F">
              <w:rPr>
                <w:rFonts w:ascii="Arial" w:hAnsi="Arial" w:cs="Arial"/>
                <w:sz w:val="22"/>
                <w:szCs w:val="22"/>
              </w:rPr>
              <w:t>Corporate Secretary</w:t>
            </w:r>
          </w:p>
          <w:p w:rsidR="00D66C98" w:rsidRPr="00D40E65" w:rsidRDefault="00D66C98"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ED0E87" w:rsidRDefault="00BF5404" w:rsidP="00364ED2">
            <w:pPr>
              <w:rPr>
                <w:rFonts w:ascii="Arial" w:hAnsi="Arial" w:cs="Arial"/>
                <w:sz w:val="22"/>
                <w:szCs w:val="22"/>
              </w:rPr>
            </w:pPr>
            <w:r>
              <w:rPr>
                <w:rFonts w:ascii="Arial" w:hAnsi="Arial" w:cs="Arial"/>
                <w:sz w:val="22"/>
                <w:szCs w:val="22"/>
              </w:rPr>
              <w:t>SC</w:t>
            </w:r>
            <w:r w:rsidR="00844A89">
              <w:rPr>
                <w:rFonts w:ascii="Arial" w:hAnsi="Arial" w:cs="Arial"/>
                <w:sz w:val="22"/>
                <w:szCs w:val="22"/>
              </w:rPr>
              <w:t>T</w:t>
            </w:r>
            <w:r>
              <w:rPr>
                <w:rFonts w:ascii="Arial" w:hAnsi="Arial" w:cs="Arial"/>
                <w:sz w:val="22"/>
                <w:szCs w:val="22"/>
              </w:rPr>
              <w:t>S Executive Team assessment (</w:t>
            </w:r>
            <w:r w:rsidR="00D66C98">
              <w:rPr>
                <w:rFonts w:ascii="Arial" w:hAnsi="Arial" w:cs="Arial"/>
                <w:sz w:val="22"/>
                <w:szCs w:val="22"/>
              </w:rPr>
              <w:t>plus any additional observations/ratings provided by the SC</w:t>
            </w:r>
            <w:r w:rsidR="00844A89">
              <w:rPr>
                <w:rFonts w:ascii="Arial" w:hAnsi="Arial" w:cs="Arial"/>
                <w:sz w:val="22"/>
                <w:szCs w:val="22"/>
              </w:rPr>
              <w:t>T</w:t>
            </w:r>
            <w:r w:rsidR="00D66C98">
              <w:rPr>
                <w:rFonts w:ascii="Arial" w:hAnsi="Arial" w:cs="Arial"/>
                <w:sz w:val="22"/>
                <w:szCs w:val="22"/>
              </w:rPr>
              <w:t>S Board).</w:t>
            </w:r>
          </w:p>
          <w:p w:rsidR="00D66C98" w:rsidRPr="00D40E65" w:rsidRDefault="00D66C98"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ED0E87" w:rsidRDefault="00D66C98" w:rsidP="00364ED2">
            <w:pPr>
              <w:rPr>
                <w:rFonts w:ascii="Arial" w:hAnsi="Arial" w:cs="Arial"/>
                <w:sz w:val="22"/>
                <w:szCs w:val="22"/>
              </w:rPr>
            </w:pPr>
            <w:r>
              <w:rPr>
                <w:rFonts w:ascii="Arial" w:hAnsi="Arial" w:cs="Arial"/>
                <w:sz w:val="22"/>
                <w:szCs w:val="22"/>
              </w:rPr>
              <w:t>SC</w:t>
            </w:r>
            <w:r w:rsidR="00844A89">
              <w:rPr>
                <w:rFonts w:ascii="Arial" w:hAnsi="Arial" w:cs="Arial"/>
                <w:sz w:val="22"/>
                <w:szCs w:val="22"/>
              </w:rPr>
              <w:t>T</w:t>
            </w:r>
            <w:r>
              <w:rPr>
                <w:rFonts w:ascii="Arial" w:hAnsi="Arial" w:cs="Arial"/>
                <w:sz w:val="22"/>
                <w:szCs w:val="22"/>
              </w:rPr>
              <w:t>S Executive Team assessment</w:t>
            </w:r>
          </w:p>
          <w:p w:rsidR="00D66C98" w:rsidRPr="00D40E65" w:rsidRDefault="00D66C98"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ED0E87" w:rsidRDefault="00D66C98" w:rsidP="00364ED2">
            <w:pPr>
              <w:rPr>
                <w:rFonts w:ascii="Arial" w:hAnsi="Arial" w:cs="Arial"/>
                <w:sz w:val="22"/>
                <w:szCs w:val="22"/>
              </w:rPr>
            </w:pPr>
            <w:r>
              <w:rPr>
                <w:rFonts w:ascii="Arial" w:hAnsi="Arial" w:cs="Arial"/>
                <w:sz w:val="22"/>
                <w:szCs w:val="22"/>
              </w:rPr>
              <w:t>Green – collaboration currently effective, with no major issues.</w:t>
            </w:r>
          </w:p>
          <w:p w:rsidR="00D66C98" w:rsidRDefault="00D66C98" w:rsidP="00364ED2">
            <w:pPr>
              <w:rPr>
                <w:rFonts w:ascii="Arial" w:hAnsi="Arial" w:cs="Arial"/>
                <w:sz w:val="22"/>
                <w:szCs w:val="22"/>
              </w:rPr>
            </w:pPr>
          </w:p>
          <w:p w:rsidR="00D66C98" w:rsidRDefault="00D66C98" w:rsidP="00364ED2">
            <w:pPr>
              <w:rPr>
                <w:rFonts w:ascii="Arial" w:hAnsi="Arial" w:cs="Arial"/>
                <w:sz w:val="22"/>
                <w:szCs w:val="22"/>
              </w:rPr>
            </w:pPr>
            <w:r>
              <w:rPr>
                <w:rFonts w:ascii="Arial" w:hAnsi="Arial" w:cs="Arial"/>
                <w:sz w:val="22"/>
                <w:szCs w:val="22"/>
              </w:rPr>
              <w:t>Amber – collaboration generally effective although particular issues/areas may require further focus (e.g. escalating business volumes).</w:t>
            </w:r>
          </w:p>
          <w:p w:rsidR="00D66C98" w:rsidRDefault="00D66C98" w:rsidP="00364ED2">
            <w:pPr>
              <w:rPr>
                <w:rFonts w:ascii="Arial" w:hAnsi="Arial" w:cs="Arial"/>
                <w:sz w:val="22"/>
                <w:szCs w:val="22"/>
              </w:rPr>
            </w:pPr>
          </w:p>
          <w:p w:rsidR="00D66C98" w:rsidRDefault="00D66C98" w:rsidP="00364ED2">
            <w:pPr>
              <w:rPr>
                <w:rFonts w:ascii="Arial" w:hAnsi="Arial" w:cs="Arial"/>
                <w:sz w:val="22"/>
                <w:szCs w:val="22"/>
              </w:rPr>
            </w:pPr>
            <w:r>
              <w:rPr>
                <w:rFonts w:ascii="Arial" w:hAnsi="Arial" w:cs="Arial"/>
                <w:sz w:val="22"/>
                <w:szCs w:val="22"/>
              </w:rPr>
              <w:t>Red – concerns about level of collaboration or specific issues that require the attention of the SC</w:t>
            </w:r>
            <w:r w:rsidR="00844A89">
              <w:rPr>
                <w:rFonts w:ascii="Arial" w:hAnsi="Arial" w:cs="Arial"/>
                <w:sz w:val="22"/>
                <w:szCs w:val="22"/>
              </w:rPr>
              <w:t>T</w:t>
            </w:r>
            <w:r>
              <w:rPr>
                <w:rFonts w:ascii="Arial" w:hAnsi="Arial" w:cs="Arial"/>
                <w:sz w:val="22"/>
                <w:szCs w:val="22"/>
              </w:rPr>
              <w:t>S Board.</w:t>
            </w:r>
          </w:p>
          <w:p w:rsidR="00D66C98" w:rsidRPr="00D40E65" w:rsidRDefault="00D66C98" w:rsidP="00364ED2">
            <w:pPr>
              <w:rPr>
                <w:rFonts w:ascii="Arial" w:hAnsi="Arial" w:cs="Arial"/>
                <w:sz w:val="22"/>
                <w:szCs w:val="22"/>
              </w:rPr>
            </w:pPr>
          </w:p>
        </w:tc>
      </w:tr>
      <w:tr w:rsidR="00ED0E87" w:rsidRPr="00D40E65" w:rsidTr="00D66C98">
        <w:trPr>
          <w:trHeight w:val="522"/>
        </w:trPr>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D66C98" w:rsidRPr="00D40E65" w:rsidRDefault="00D66C98"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D66C98" w:rsidRPr="00D40E65" w:rsidRDefault="00D66C98"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Other Comments</w:t>
            </w:r>
          </w:p>
        </w:tc>
        <w:tc>
          <w:tcPr>
            <w:tcW w:w="3073" w:type="pct"/>
          </w:tcPr>
          <w:p w:rsidR="00ED0E87" w:rsidRPr="00D40E65" w:rsidRDefault="00ED0E87" w:rsidP="00364ED2">
            <w:pPr>
              <w:rPr>
                <w:rFonts w:ascii="Arial" w:hAnsi="Arial" w:cs="Arial"/>
                <w:sz w:val="22"/>
                <w:szCs w:val="22"/>
              </w:rPr>
            </w:pPr>
          </w:p>
        </w:tc>
      </w:tr>
    </w:tbl>
    <w:p w:rsidR="00ED0E87" w:rsidRDefault="00ED0E87" w:rsidP="00ED0E87">
      <w:pPr>
        <w:rPr>
          <w:rFonts w:ascii="Arial" w:hAnsi="Arial" w:cs="Arial"/>
          <w:sz w:val="22"/>
          <w:szCs w:val="22"/>
        </w:rPr>
      </w:pPr>
    </w:p>
    <w:p w:rsidR="00D66C98" w:rsidRDefault="00D66C98" w:rsidP="00ED0E87">
      <w:pPr>
        <w:rPr>
          <w:rFonts w:ascii="Arial" w:hAnsi="Arial" w:cs="Arial"/>
          <w:sz w:val="22"/>
          <w:szCs w:val="22"/>
        </w:rPr>
        <w:sectPr w:rsidR="00D66C98">
          <w:pgSz w:w="11906" w:h="16838"/>
          <w:pgMar w:top="1440" w:right="1800" w:bottom="1440" w:left="1800" w:header="708" w:footer="708" w:gutter="0"/>
          <w:cols w:space="708"/>
          <w:docGrid w:linePitch="360"/>
        </w:sectPr>
      </w:pPr>
    </w:p>
    <w:p w:rsidR="00ED0E87" w:rsidRDefault="00ED0E87"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301"/>
      </w:tblGrid>
      <w:tr w:rsidR="00ED0E87" w:rsidRPr="00D40E65" w:rsidTr="00351997">
        <w:tc>
          <w:tcPr>
            <w:tcW w:w="1890" w:type="pct"/>
            <w:shd w:val="clear" w:color="auto" w:fill="BAA874"/>
          </w:tcPr>
          <w:p w:rsidR="00ED0E87" w:rsidRPr="00D40E65" w:rsidRDefault="00ED0E87" w:rsidP="00364ED2">
            <w:pPr>
              <w:rPr>
                <w:rFonts w:ascii="Arial" w:hAnsi="Arial" w:cs="Arial"/>
                <w:b/>
                <w:sz w:val="22"/>
                <w:szCs w:val="22"/>
              </w:rPr>
            </w:pPr>
            <w:r w:rsidRPr="00D57289">
              <w:rPr>
                <w:rFonts w:ascii="Arial" w:hAnsi="Arial" w:cs="Arial"/>
                <w:b/>
                <w:szCs w:val="22"/>
              </w:rPr>
              <w:t>Strategic Priority 8</w:t>
            </w:r>
          </w:p>
        </w:tc>
        <w:tc>
          <w:tcPr>
            <w:tcW w:w="3110" w:type="pct"/>
            <w:shd w:val="clear" w:color="auto" w:fill="BAA874"/>
          </w:tcPr>
          <w:p w:rsidR="00ED0E87" w:rsidRDefault="00ED0E87" w:rsidP="00364ED2">
            <w:pPr>
              <w:rPr>
                <w:rFonts w:ascii="Arial" w:hAnsi="Arial" w:cs="Arial"/>
                <w:b/>
                <w:szCs w:val="22"/>
              </w:rPr>
            </w:pPr>
            <w:r w:rsidRPr="00D57289">
              <w:rPr>
                <w:rFonts w:ascii="Arial" w:hAnsi="Arial" w:cs="Arial"/>
                <w:b/>
                <w:szCs w:val="22"/>
              </w:rPr>
              <w:t>Funding</w:t>
            </w:r>
          </w:p>
          <w:p w:rsidR="006266BB" w:rsidRPr="00D40E65" w:rsidRDefault="006266BB" w:rsidP="00364ED2">
            <w:pPr>
              <w:rPr>
                <w:rFonts w:ascii="Arial" w:hAnsi="Arial" w:cs="Arial"/>
                <w:b/>
                <w:sz w:val="22"/>
                <w:szCs w:val="22"/>
              </w:rPr>
            </w:pPr>
          </w:p>
        </w:tc>
      </w:tr>
      <w:tr w:rsidR="00ED0E87" w:rsidRPr="00D40E65" w:rsidTr="00364ED2">
        <w:tc>
          <w:tcPr>
            <w:tcW w:w="1890" w:type="pct"/>
          </w:tcPr>
          <w:p w:rsidR="00ED0E87" w:rsidRPr="00D40E65" w:rsidRDefault="00ED0E87" w:rsidP="00364ED2">
            <w:pPr>
              <w:rPr>
                <w:rFonts w:ascii="Arial" w:hAnsi="Arial" w:cs="Arial"/>
                <w:b/>
                <w:sz w:val="22"/>
                <w:szCs w:val="22"/>
              </w:rPr>
            </w:pPr>
            <w:r>
              <w:rPr>
                <w:rFonts w:ascii="Arial" w:hAnsi="Arial" w:cs="Arial"/>
                <w:b/>
                <w:sz w:val="22"/>
                <w:szCs w:val="22"/>
              </w:rPr>
              <w:t>Measure 8</w:t>
            </w:r>
            <w:r w:rsidR="006A6D8B">
              <w:rPr>
                <w:rFonts w:ascii="Arial" w:hAnsi="Arial" w:cs="Arial"/>
                <w:b/>
                <w:sz w:val="22"/>
                <w:szCs w:val="22"/>
              </w:rPr>
              <w:t>(</w:t>
            </w:r>
            <w:r>
              <w:rPr>
                <w:rFonts w:ascii="Arial" w:hAnsi="Arial" w:cs="Arial"/>
                <w:b/>
                <w:sz w:val="22"/>
                <w:szCs w:val="22"/>
              </w:rPr>
              <w:t>a</w:t>
            </w:r>
            <w:r w:rsidR="006A6D8B">
              <w:rPr>
                <w:rFonts w:ascii="Arial" w:hAnsi="Arial" w:cs="Arial"/>
                <w:b/>
                <w:sz w:val="22"/>
                <w:szCs w:val="22"/>
              </w:rPr>
              <w:t>)</w:t>
            </w:r>
          </w:p>
        </w:tc>
        <w:tc>
          <w:tcPr>
            <w:tcW w:w="3110" w:type="pct"/>
          </w:tcPr>
          <w:p w:rsidR="00ED0E87" w:rsidRPr="00D40E65" w:rsidRDefault="00ED0E87" w:rsidP="00364ED2">
            <w:pPr>
              <w:rPr>
                <w:rFonts w:ascii="Arial" w:hAnsi="Arial" w:cs="Arial"/>
                <w:b/>
                <w:sz w:val="22"/>
                <w:szCs w:val="22"/>
              </w:rPr>
            </w:pPr>
            <w:r w:rsidRPr="00B352FC">
              <w:rPr>
                <w:rFonts w:ascii="Arial" w:hAnsi="Arial" w:cs="Arial"/>
                <w:b/>
                <w:sz w:val="22"/>
                <w:szCs w:val="22"/>
              </w:rPr>
              <w:t>Expenditure profile</w:t>
            </w: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110" w:type="pct"/>
          </w:tcPr>
          <w:p w:rsidR="00ED0E87" w:rsidRDefault="00ED0E87" w:rsidP="00364ED2">
            <w:pPr>
              <w:rPr>
                <w:rFonts w:ascii="Arial" w:hAnsi="Arial" w:cs="Arial"/>
                <w:sz w:val="22"/>
                <w:szCs w:val="22"/>
              </w:rPr>
            </w:pPr>
            <w:r w:rsidRPr="00D40E65">
              <w:rPr>
                <w:rFonts w:ascii="Arial" w:hAnsi="Arial" w:cs="Arial"/>
                <w:sz w:val="22"/>
                <w:szCs w:val="22"/>
              </w:rPr>
              <w:t>Year-</w:t>
            </w:r>
            <w:r>
              <w:rPr>
                <w:rFonts w:ascii="Arial" w:hAnsi="Arial" w:cs="Arial"/>
                <w:sz w:val="22"/>
                <w:szCs w:val="22"/>
              </w:rPr>
              <w:t>end forecast</w:t>
            </w:r>
            <w:r w:rsidRPr="00D40E65">
              <w:rPr>
                <w:rFonts w:ascii="Arial" w:hAnsi="Arial" w:cs="Arial"/>
                <w:sz w:val="22"/>
                <w:szCs w:val="22"/>
              </w:rPr>
              <w:t xml:space="preserve"> </w:t>
            </w:r>
            <w:r w:rsidR="006266BB">
              <w:rPr>
                <w:rFonts w:ascii="Arial" w:hAnsi="Arial" w:cs="Arial"/>
                <w:sz w:val="22"/>
                <w:szCs w:val="22"/>
              </w:rPr>
              <w:t xml:space="preserve">of </w:t>
            </w:r>
            <w:r w:rsidRPr="00D40E65">
              <w:rPr>
                <w:rFonts w:ascii="Arial" w:hAnsi="Arial" w:cs="Arial"/>
                <w:sz w:val="22"/>
                <w:szCs w:val="22"/>
              </w:rPr>
              <w:t>direct running costs variance</w:t>
            </w:r>
            <w:r>
              <w:rPr>
                <w:rFonts w:ascii="Arial" w:hAnsi="Arial" w:cs="Arial"/>
                <w:sz w:val="22"/>
                <w:szCs w:val="22"/>
              </w:rPr>
              <w:t xml:space="preserve"> as a percentage of</w:t>
            </w:r>
            <w:r w:rsidRPr="00D40E65">
              <w:rPr>
                <w:rFonts w:ascii="Arial" w:hAnsi="Arial" w:cs="Arial"/>
                <w:sz w:val="22"/>
                <w:szCs w:val="22"/>
              </w:rPr>
              <w:t xml:space="preserve"> budget</w:t>
            </w:r>
          </w:p>
          <w:p w:rsidR="006266BB" w:rsidRPr="00D40E65" w:rsidRDefault="006266BB" w:rsidP="00364ED2">
            <w:pPr>
              <w:rPr>
                <w:rFonts w:ascii="Arial" w:hAnsi="Arial" w:cs="Arial"/>
                <w:sz w:val="22"/>
                <w:szCs w:val="22"/>
              </w:rPr>
            </w:pP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522719" w:rsidRDefault="00522719" w:rsidP="00522719">
            <w:pPr>
              <w:rPr>
                <w:rFonts w:ascii="Arial" w:hAnsi="Arial" w:cs="Arial"/>
                <w:sz w:val="22"/>
                <w:szCs w:val="22"/>
              </w:rPr>
            </w:pPr>
          </w:p>
          <w:p w:rsidR="00522719" w:rsidRPr="00D40E65" w:rsidRDefault="00522719" w:rsidP="0064375A">
            <w:pPr>
              <w:rPr>
                <w:rFonts w:ascii="Arial" w:hAnsi="Arial" w:cs="Arial"/>
                <w:sz w:val="22"/>
                <w:szCs w:val="22"/>
              </w:rPr>
            </w:pPr>
          </w:p>
        </w:tc>
        <w:tc>
          <w:tcPr>
            <w:tcW w:w="3110" w:type="pct"/>
          </w:tcPr>
          <w:p w:rsidR="00ED0E87" w:rsidRDefault="00ED0E87" w:rsidP="00364ED2">
            <w:pPr>
              <w:rPr>
                <w:rFonts w:ascii="Arial" w:hAnsi="Arial" w:cs="Arial"/>
                <w:sz w:val="22"/>
                <w:szCs w:val="22"/>
              </w:rPr>
            </w:pPr>
            <w:r w:rsidRPr="00D40E65">
              <w:rPr>
                <w:rFonts w:ascii="Arial" w:hAnsi="Arial" w:cs="Arial"/>
                <w:sz w:val="22"/>
                <w:szCs w:val="22"/>
              </w:rPr>
              <w:t xml:space="preserve">To monitor the risk of the </w:t>
            </w:r>
            <w:r w:rsidR="00844A89">
              <w:rPr>
                <w:rFonts w:ascii="Arial" w:hAnsi="Arial" w:cs="Arial"/>
                <w:sz w:val="22"/>
                <w:szCs w:val="22"/>
              </w:rPr>
              <w:t>SCTS</w:t>
            </w:r>
            <w:r w:rsidRPr="00D40E65">
              <w:rPr>
                <w:rFonts w:ascii="Arial" w:hAnsi="Arial" w:cs="Arial"/>
                <w:sz w:val="22"/>
                <w:szCs w:val="22"/>
              </w:rPr>
              <w:t xml:space="preserve"> under-spending or exceeding budget by the financial year end.</w:t>
            </w:r>
          </w:p>
          <w:p w:rsidR="006266BB" w:rsidRPr="00D40E65" w:rsidRDefault="006266BB"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To monitor the quality of financial planning by comparing budget information against actual expenditure during the financial year. SC</w:t>
            </w:r>
            <w:r w:rsidR="00844A89">
              <w:rPr>
                <w:rFonts w:ascii="Arial" w:hAnsi="Arial" w:cs="Arial"/>
                <w:sz w:val="22"/>
                <w:szCs w:val="22"/>
              </w:rPr>
              <w:t>T</w:t>
            </w:r>
            <w:r w:rsidRPr="00D40E65">
              <w:rPr>
                <w:rFonts w:ascii="Arial" w:hAnsi="Arial" w:cs="Arial"/>
                <w:sz w:val="22"/>
                <w:szCs w:val="22"/>
              </w:rPr>
              <w:t>S will aim to keep its outturn expenditure as close as possible to forecast</w:t>
            </w:r>
            <w:r w:rsidR="006266BB">
              <w:rPr>
                <w:rFonts w:ascii="Arial" w:hAnsi="Arial" w:cs="Arial"/>
                <w:sz w:val="22"/>
                <w:szCs w:val="22"/>
              </w:rPr>
              <w:t>,</w:t>
            </w:r>
            <w:r w:rsidRPr="00D40E65">
              <w:rPr>
                <w:rFonts w:ascii="Arial" w:hAnsi="Arial" w:cs="Arial"/>
                <w:sz w:val="22"/>
                <w:szCs w:val="22"/>
              </w:rPr>
              <w:t xml:space="preserve"> demonstrating sound financial controls and good budgeting practice</w:t>
            </w:r>
            <w:r w:rsidR="006266BB">
              <w:rPr>
                <w:rFonts w:ascii="Arial" w:hAnsi="Arial" w:cs="Arial"/>
                <w:sz w:val="22"/>
                <w:szCs w:val="22"/>
              </w:rPr>
              <w:t>.</w:t>
            </w:r>
          </w:p>
          <w:p w:rsidR="006266BB" w:rsidRPr="00D40E65" w:rsidRDefault="006266BB" w:rsidP="00364ED2">
            <w:pPr>
              <w:rPr>
                <w:rFonts w:ascii="Arial" w:hAnsi="Arial" w:cs="Arial"/>
                <w:sz w:val="22"/>
                <w:szCs w:val="22"/>
              </w:rPr>
            </w:pP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110" w:type="pct"/>
          </w:tcPr>
          <w:p w:rsidR="00ED0E87" w:rsidRDefault="006266BB" w:rsidP="00364ED2">
            <w:pPr>
              <w:rPr>
                <w:rFonts w:ascii="Arial" w:hAnsi="Arial" w:cs="Arial"/>
                <w:sz w:val="22"/>
                <w:szCs w:val="22"/>
              </w:rPr>
            </w:pPr>
            <w:r>
              <w:rPr>
                <w:rFonts w:ascii="Arial" w:hAnsi="Arial" w:cs="Arial"/>
                <w:sz w:val="22"/>
                <w:szCs w:val="22"/>
              </w:rPr>
              <w:t>Chief Financial Officer</w:t>
            </w:r>
          </w:p>
          <w:p w:rsidR="006266BB" w:rsidRPr="00D40E65" w:rsidRDefault="006266BB" w:rsidP="00364ED2">
            <w:pPr>
              <w:rPr>
                <w:rFonts w:ascii="Arial" w:hAnsi="Arial" w:cs="Arial"/>
                <w:sz w:val="22"/>
                <w:szCs w:val="22"/>
              </w:rPr>
            </w:pP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110" w:type="pct"/>
          </w:tcPr>
          <w:p w:rsidR="00ED0E87" w:rsidRDefault="00ED0E87" w:rsidP="00364ED2">
            <w:pPr>
              <w:rPr>
                <w:rFonts w:ascii="Arial" w:hAnsi="Arial" w:cs="Arial"/>
                <w:sz w:val="22"/>
                <w:szCs w:val="22"/>
              </w:rPr>
            </w:pPr>
            <w:r w:rsidRPr="00D40E65">
              <w:rPr>
                <w:rFonts w:ascii="Arial" w:hAnsi="Arial" w:cs="Arial"/>
                <w:sz w:val="22"/>
                <w:szCs w:val="22"/>
              </w:rPr>
              <w:t>SEAS accounting system</w:t>
            </w:r>
          </w:p>
          <w:p w:rsidR="006266BB" w:rsidRPr="00D40E65" w:rsidRDefault="006266BB" w:rsidP="00364ED2">
            <w:pPr>
              <w:rPr>
                <w:rFonts w:ascii="Arial" w:hAnsi="Arial" w:cs="Arial"/>
                <w:sz w:val="22"/>
                <w:szCs w:val="22"/>
              </w:rPr>
            </w:pP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110" w:type="pct"/>
          </w:tcPr>
          <w:p w:rsidR="006266BB" w:rsidRDefault="00ED0E87" w:rsidP="00364ED2">
            <w:pPr>
              <w:rPr>
                <w:rFonts w:ascii="Arial" w:hAnsi="Arial" w:cs="Arial"/>
                <w:sz w:val="22"/>
                <w:szCs w:val="22"/>
              </w:rPr>
            </w:pPr>
            <w:r w:rsidRPr="00D40E65">
              <w:rPr>
                <w:rFonts w:ascii="Arial" w:hAnsi="Arial" w:cs="Arial"/>
                <w:sz w:val="22"/>
                <w:szCs w:val="22"/>
              </w:rPr>
              <w:t xml:space="preserve">Deduct </w:t>
            </w:r>
            <w:r>
              <w:rPr>
                <w:rFonts w:ascii="Arial" w:hAnsi="Arial" w:cs="Arial"/>
                <w:sz w:val="22"/>
                <w:szCs w:val="22"/>
              </w:rPr>
              <w:t>forecast</w:t>
            </w:r>
            <w:r w:rsidRPr="00D40E65">
              <w:rPr>
                <w:rFonts w:ascii="Arial" w:hAnsi="Arial" w:cs="Arial"/>
                <w:sz w:val="22"/>
                <w:szCs w:val="22"/>
              </w:rPr>
              <w:t xml:space="preserve"> running costs from </w:t>
            </w:r>
            <w:r>
              <w:rPr>
                <w:rFonts w:ascii="Arial" w:hAnsi="Arial" w:cs="Arial"/>
                <w:sz w:val="22"/>
                <w:szCs w:val="22"/>
              </w:rPr>
              <w:t xml:space="preserve">budgeted running costs and divide by </w:t>
            </w:r>
            <w:r w:rsidRPr="00D40E65">
              <w:rPr>
                <w:rFonts w:ascii="Arial" w:hAnsi="Arial" w:cs="Arial"/>
                <w:sz w:val="22"/>
                <w:szCs w:val="22"/>
              </w:rPr>
              <w:t xml:space="preserve">budgeted running costs. A negative figure shows an under-spend, a positive figure shows </w:t>
            </w:r>
            <w:proofErr w:type="gramStart"/>
            <w:r w:rsidRPr="00D40E65">
              <w:rPr>
                <w:rFonts w:ascii="Arial" w:hAnsi="Arial" w:cs="Arial"/>
                <w:sz w:val="22"/>
                <w:szCs w:val="22"/>
              </w:rPr>
              <w:t>an over-spend</w:t>
            </w:r>
            <w:proofErr w:type="gramEnd"/>
            <w:r w:rsidRPr="00D40E65">
              <w:rPr>
                <w:rFonts w:ascii="Arial" w:hAnsi="Arial" w:cs="Arial"/>
                <w:sz w:val="22"/>
                <w:szCs w:val="22"/>
              </w:rPr>
              <w:t>.</w:t>
            </w:r>
          </w:p>
          <w:p w:rsidR="00ED0E87" w:rsidRPr="00D40E65" w:rsidRDefault="00ED0E87" w:rsidP="00364ED2">
            <w:pPr>
              <w:rPr>
                <w:rFonts w:ascii="Arial" w:hAnsi="Arial" w:cs="Arial"/>
                <w:sz w:val="22"/>
                <w:szCs w:val="22"/>
              </w:rPr>
            </w:pP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110" w:type="pct"/>
          </w:tcPr>
          <w:p w:rsidR="00ED0E87" w:rsidRPr="00D40E65" w:rsidRDefault="00ED0E87" w:rsidP="00364ED2">
            <w:pPr>
              <w:rPr>
                <w:rFonts w:ascii="Arial" w:hAnsi="Arial" w:cs="Arial"/>
                <w:sz w:val="22"/>
                <w:szCs w:val="22"/>
              </w:rPr>
            </w:pPr>
            <w:r w:rsidRPr="00D40E65">
              <w:rPr>
                <w:rFonts w:ascii="Arial" w:hAnsi="Arial" w:cs="Arial"/>
                <w:sz w:val="22"/>
                <w:szCs w:val="22"/>
              </w:rPr>
              <w:t>Red - out with green and amber</w:t>
            </w:r>
            <w:r w:rsidRPr="00D40E65">
              <w:rPr>
                <w:rFonts w:ascii="Arial" w:hAnsi="Arial" w:cs="Arial"/>
                <w:sz w:val="22"/>
                <w:szCs w:val="22"/>
              </w:rPr>
              <w:tab/>
            </w:r>
          </w:p>
          <w:p w:rsidR="00ED0E87" w:rsidRPr="00D40E65" w:rsidRDefault="00ED0E87" w:rsidP="00364ED2">
            <w:pPr>
              <w:rPr>
                <w:rFonts w:ascii="Arial" w:hAnsi="Arial" w:cs="Arial"/>
                <w:sz w:val="22"/>
                <w:szCs w:val="22"/>
              </w:rPr>
            </w:pPr>
            <w:r w:rsidRPr="00D40E65">
              <w:rPr>
                <w:rFonts w:ascii="Arial" w:hAnsi="Arial" w:cs="Arial"/>
                <w:sz w:val="22"/>
                <w:szCs w:val="22"/>
              </w:rPr>
              <w:t xml:space="preserve">Amber : </w:t>
            </w:r>
            <w:r>
              <w:rPr>
                <w:rFonts w:ascii="Arial" w:hAnsi="Arial" w:cs="Arial"/>
                <w:sz w:val="22"/>
                <w:szCs w:val="22"/>
              </w:rPr>
              <w:t>Between -</w:t>
            </w:r>
            <w:r w:rsidR="008618EF">
              <w:rPr>
                <w:rFonts w:ascii="Arial" w:hAnsi="Arial" w:cs="Arial"/>
                <w:sz w:val="22"/>
                <w:szCs w:val="22"/>
              </w:rPr>
              <w:t>2.5</w:t>
            </w:r>
            <w:r>
              <w:rPr>
                <w:rFonts w:ascii="Arial" w:hAnsi="Arial" w:cs="Arial"/>
                <w:sz w:val="22"/>
                <w:szCs w:val="22"/>
              </w:rPr>
              <w:t>% and -</w:t>
            </w:r>
            <w:r w:rsidR="008618EF">
              <w:rPr>
                <w:rFonts w:ascii="Arial" w:hAnsi="Arial" w:cs="Arial"/>
                <w:sz w:val="22"/>
                <w:szCs w:val="22"/>
              </w:rPr>
              <w:t>5</w:t>
            </w:r>
            <w:r w:rsidRPr="00D40E65">
              <w:rPr>
                <w:rFonts w:ascii="Arial" w:hAnsi="Arial" w:cs="Arial"/>
                <w:sz w:val="22"/>
                <w:szCs w:val="22"/>
              </w:rPr>
              <w:t xml:space="preserve">% of forecast </w:t>
            </w:r>
          </w:p>
          <w:p w:rsidR="00ED0E87" w:rsidRDefault="00ED0E87" w:rsidP="00364ED2">
            <w:pPr>
              <w:rPr>
                <w:rFonts w:ascii="Arial" w:hAnsi="Arial" w:cs="Arial"/>
                <w:sz w:val="22"/>
                <w:szCs w:val="22"/>
              </w:rPr>
            </w:pPr>
            <w:r w:rsidRPr="00D40E65">
              <w:rPr>
                <w:rFonts w:ascii="Arial" w:hAnsi="Arial" w:cs="Arial"/>
                <w:sz w:val="22"/>
                <w:szCs w:val="22"/>
              </w:rPr>
              <w:t xml:space="preserve">Green : </w:t>
            </w:r>
            <w:r>
              <w:rPr>
                <w:rFonts w:ascii="Arial" w:hAnsi="Arial" w:cs="Arial"/>
                <w:sz w:val="22"/>
                <w:szCs w:val="22"/>
              </w:rPr>
              <w:t>-</w:t>
            </w:r>
            <w:r w:rsidR="008618EF">
              <w:rPr>
                <w:rFonts w:ascii="Arial" w:hAnsi="Arial" w:cs="Arial"/>
                <w:sz w:val="22"/>
                <w:szCs w:val="22"/>
              </w:rPr>
              <w:t>2.5</w:t>
            </w:r>
            <w:r>
              <w:rPr>
                <w:rFonts w:ascii="Arial" w:hAnsi="Arial" w:cs="Arial"/>
                <w:sz w:val="22"/>
                <w:szCs w:val="22"/>
              </w:rPr>
              <w:t>0</w:t>
            </w:r>
            <w:r w:rsidRPr="00D40E65">
              <w:rPr>
                <w:rFonts w:ascii="Arial" w:hAnsi="Arial" w:cs="Arial"/>
                <w:sz w:val="22"/>
                <w:szCs w:val="22"/>
              </w:rPr>
              <w:t>% of forecast to matching forecast</w:t>
            </w:r>
          </w:p>
          <w:p w:rsidR="00AE771C" w:rsidRPr="00D40E65" w:rsidRDefault="00AE771C" w:rsidP="00364ED2">
            <w:pPr>
              <w:rPr>
                <w:rFonts w:ascii="Arial" w:hAnsi="Arial" w:cs="Arial"/>
                <w:sz w:val="22"/>
                <w:szCs w:val="22"/>
              </w:rPr>
            </w:pP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110" w:type="pct"/>
          </w:tcPr>
          <w:p w:rsidR="00ED0E87" w:rsidRDefault="00ED0E87" w:rsidP="00364ED2">
            <w:pPr>
              <w:rPr>
                <w:rFonts w:ascii="Arial" w:hAnsi="Arial" w:cs="Arial"/>
                <w:sz w:val="22"/>
                <w:szCs w:val="22"/>
              </w:rPr>
            </w:pPr>
            <w:r w:rsidRPr="00D40E65">
              <w:rPr>
                <w:rFonts w:ascii="Arial" w:hAnsi="Arial" w:cs="Arial"/>
                <w:sz w:val="22"/>
                <w:szCs w:val="22"/>
              </w:rPr>
              <w:t>Monthly</w:t>
            </w:r>
          </w:p>
          <w:p w:rsidR="00AE771C" w:rsidRPr="00D40E65" w:rsidRDefault="00AE771C" w:rsidP="00364ED2">
            <w:pPr>
              <w:rPr>
                <w:rFonts w:ascii="Arial" w:hAnsi="Arial" w:cs="Arial"/>
                <w:sz w:val="22"/>
                <w:szCs w:val="22"/>
              </w:rPr>
            </w:pP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110"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AE771C" w:rsidRPr="00D40E65" w:rsidRDefault="00AE771C" w:rsidP="00364ED2">
            <w:pPr>
              <w:rPr>
                <w:rFonts w:ascii="Arial" w:hAnsi="Arial" w:cs="Arial"/>
                <w:sz w:val="22"/>
                <w:szCs w:val="22"/>
              </w:rPr>
            </w:pPr>
          </w:p>
        </w:tc>
      </w:tr>
      <w:tr w:rsidR="00ED0E87" w:rsidRPr="00D40E65" w:rsidTr="00364ED2">
        <w:tc>
          <w:tcPr>
            <w:tcW w:w="1890" w:type="pct"/>
          </w:tcPr>
          <w:p w:rsidR="00ED0E87" w:rsidRPr="00D40E65" w:rsidRDefault="00ED0E87" w:rsidP="00364ED2">
            <w:pPr>
              <w:rPr>
                <w:rFonts w:ascii="Arial" w:hAnsi="Arial" w:cs="Arial"/>
                <w:sz w:val="22"/>
                <w:szCs w:val="22"/>
              </w:rPr>
            </w:pPr>
            <w:r w:rsidRPr="00D40E65">
              <w:rPr>
                <w:rFonts w:ascii="Arial" w:hAnsi="Arial" w:cs="Arial"/>
                <w:sz w:val="22"/>
                <w:szCs w:val="22"/>
              </w:rPr>
              <w:t>Other Comments</w:t>
            </w:r>
          </w:p>
        </w:tc>
        <w:tc>
          <w:tcPr>
            <w:tcW w:w="3110" w:type="pct"/>
          </w:tcPr>
          <w:p w:rsidR="00ED0E87" w:rsidRDefault="00ED0E87" w:rsidP="00364ED2">
            <w:pPr>
              <w:rPr>
                <w:rFonts w:ascii="Arial" w:hAnsi="Arial" w:cs="Arial"/>
                <w:sz w:val="22"/>
                <w:szCs w:val="22"/>
              </w:rPr>
            </w:pPr>
            <w:r w:rsidRPr="00D40E65">
              <w:rPr>
                <w:rFonts w:ascii="Arial" w:hAnsi="Arial" w:cs="Arial"/>
                <w:sz w:val="22"/>
                <w:szCs w:val="22"/>
              </w:rPr>
              <w:t>Budget forecasts become more accurate as the year progresses. However in an environment of shrinking budgets the ability to plan with precision and spend in line with deliverable plans will be even more important and this indicator will give an indication of how well SC</w:t>
            </w:r>
            <w:r w:rsidR="00844A89">
              <w:rPr>
                <w:rFonts w:ascii="Arial" w:hAnsi="Arial" w:cs="Arial"/>
                <w:sz w:val="22"/>
                <w:szCs w:val="22"/>
              </w:rPr>
              <w:t>T</w:t>
            </w:r>
            <w:r w:rsidRPr="00D40E65">
              <w:rPr>
                <w:rFonts w:ascii="Arial" w:hAnsi="Arial" w:cs="Arial"/>
                <w:sz w:val="22"/>
                <w:szCs w:val="22"/>
              </w:rPr>
              <w:t>S is delivering its expenditure commitments.</w:t>
            </w:r>
          </w:p>
          <w:p w:rsidR="00844A89" w:rsidRPr="00D40E65" w:rsidRDefault="00844A89"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 xml:space="preserve">The </w:t>
            </w:r>
            <w:r w:rsidR="00844A89">
              <w:rPr>
                <w:rFonts w:ascii="Arial" w:hAnsi="Arial" w:cs="Arial"/>
                <w:sz w:val="22"/>
                <w:szCs w:val="22"/>
              </w:rPr>
              <w:t>RAG</w:t>
            </w:r>
            <w:r w:rsidRPr="00D40E65">
              <w:rPr>
                <w:rFonts w:ascii="Arial" w:hAnsi="Arial" w:cs="Arial"/>
                <w:sz w:val="22"/>
                <w:szCs w:val="22"/>
              </w:rPr>
              <w:t xml:space="preserve"> criteria is biased towards flagging an overspend as it is generally more challenging to manage than under spending and might require an action plan to rectify depending on whether  the overspend is expected to continue</w:t>
            </w:r>
            <w:r w:rsidR="00AE771C">
              <w:rPr>
                <w:rFonts w:ascii="Arial" w:hAnsi="Arial" w:cs="Arial"/>
                <w:sz w:val="22"/>
                <w:szCs w:val="22"/>
              </w:rPr>
              <w:t>.</w:t>
            </w:r>
          </w:p>
          <w:p w:rsidR="00AE771C" w:rsidRPr="00D40E65" w:rsidRDefault="00AE771C" w:rsidP="00364ED2">
            <w:pPr>
              <w:rPr>
                <w:rFonts w:ascii="Arial" w:hAnsi="Arial" w:cs="Arial"/>
                <w:sz w:val="22"/>
                <w:szCs w:val="22"/>
              </w:rPr>
            </w:pPr>
          </w:p>
        </w:tc>
      </w:tr>
    </w:tbl>
    <w:p w:rsidR="00ED0E87" w:rsidRDefault="00ED0E87" w:rsidP="00ED0E87">
      <w:pPr>
        <w:rPr>
          <w:rFonts w:ascii="Arial" w:hAnsi="Arial" w:cs="Arial"/>
          <w:sz w:val="22"/>
          <w:szCs w:val="22"/>
        </w:rPr>
      </w:pPr>
    </w:p>
    <w:p w:rsidR="00AE771C" w:rsidRDefault="00AE771C" w:rsidP="00ED0E87">
      <w:pPr>
        <w:rPr>
          <w:rFonts w:ascii="Arial" w:hAnsi="Arial" w:cs="Arial"/>
          <w:sz w:val="22"/>
          <w:szCs w:val="22"/>
        </w:rPr>
        <w:sectPr w:rsidR="00AE771C">
          <w:pgSz w:w="11906" w:h="16838"/>
          <w:pgMar w:top="1440" w:right="1800" w:bottom="1440" w:left="1800" w:header="708" w:footer="708" w:gutter="0"/>
          <w:cols w:space="708"/>
          <w:docGrid w:linePitch="360"/>
        </w:sectPr>
      </w:pPr>
    </w:p>
    <w:p w:rsidR="00B81250" w:rsidRDefault="00B81250"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351997" w:rsidRPr="00D40E65" w:rsidTr="00280DA5">
        <w:tc>
          <w:tcPr>
            <w:tcW w:w="1927" w:type="pct"/>
            <w:shd w:val="clear" w:color="auto" w:fill="BAA874"/>
          </w:tcPr>
          <w:p w:rsidR="00351997" w:rsidRPr="00D40E65" w:rsidRDefault="00351997" w:rsidP="00351997">
            <w:pPr>
              <w:rPr>
                <w:rFonts w:ascii="Arial" w:hAnsi="Arial" w:cs="Arial"/>
                <w:b/>
                <w:sz w:val="22"/>
                <w:szCs w:val="22"/>
              </w:rPr>
            </w:pPr>
            <w:r w:rsidRPr="00D57289">
              <w:rPr>
                <w:rFonts w:ascii="Arial" w:hAnsi="Arial" w:cs="Arial"/>
                <w:b/>
                <w:szCs w:val="22"/>
              </w:rPr>
              <w:t>Strategic Priority 8</w:t>
            </w:r>
          </w:p>
        </w:tc>
        <w:tc>
          <w:tcPr>
            <w:tcW w:w="3073" w:type="pct"/>
            <w:shd w:val="clear" w:color="auto" w:fill="BAA874"/>
          </w:tcPr>
          <w:p w:rsidR="00351997" w:rsidRPr="00D40E65" w:rsidRDefault="00351997" w:rsidP="00351997">
            <w:pPr>
              <w:rPr>
                <w:rFonts w:ascii="Arial" w:hAnsi="Arial" w:cs="Arial"/>
                <w:b/>
                <w:sz w:val="22"/>
                <w:szCs w:val="22"/>
              </w:rPr>
            </w:pPr>
            <w:r w:rsidRPr="00D57289">
              <w:rPr>
                <w:rFonts w:ascii="Arial" w:hAnsi="Arial" w:cs="Arial"/>
                <w:b/>
                <w:szCs w:val="22"/>
              </w:rPr>
              <w:t>Funding</w:t>
            </w:r>
          </w:p>
        </w:tc>
      </w:tr>
      <w:tr w:rsidR="00ED0E87" w:rsidRPr="00D40E65" w:rsidTr="00364ED2">
        <w:tc>
          <w:tcPr>
            <w:tcW w:w="1927" w:type="pct"/>
          </w:tcPr>
          <w:p w:rsidR="00ED0E87" w:rsidRDefault="00ED0E87" w:rsidP="00364ED2">
            <w:pPr>
              <w:rPr>
                <w:rFonts w:ascii="Arial" w:hAnsi="Arial" w:cs="Arial"/>
                <w:b/>
                <w:sz w:val="22"/>
                <w:szCs w:val="22"/>
              </w:rPr>
            </w:pPr>
            <w:r>
              <w:rPr>
                <w:rFonts w:ascii="Arial" w:hAnsi="Arial" w:cs="Arial"/>
                <w:b/>
                <w:sz w:val="22"/>
                <w:szCs w:val="22"/>
              </w:rPr>
              <w:t>Measure</w:t>
            </w:r>
            <w:r w:rsidRPr="003630A5">
              <w:rPr>
                <w:rFonts w:ascii="Arial" w:hAnsi="Arial" w:cs="Arial"/>
                <w:b/>
                <w:sz w:val="22"/>
                <w:szCs w:val="22"/>
              </w:rPr>
              <w:t xml:space="preserve"> 8</w:t>
            </w:r>
            <w:r w:rsidR="006A6D8B">
              <w:rPr>
                <w:rFonts w:ascii="Arial" w:hAnsi="Arial" w:cs="Arial"/>
                <w:b/>
                <w:sz w:val="22"/>
                <w:szCs w:val="22"/>
              </w:rPr>
              <w:t>(</w:t>
            </w:r>
            <w:r>
              <w:rPr>
                <w:rFonts w:ascii="Arial" w:hAnsi="Arial" w:cs="Arial"/>
                <w:b/>
                <w:sz w:val="22"/>
                <w:szCs w:val="22"/>
              </w:rPr>
              <w:t>b</w:t>
            </w:r>
            <w:r w:rsidR="006A6D8B">
              <w:rPr>
                <w:rFonts w:ascii="Arial" w:hAnsi="Arial" w:cs="Arial"/>
                <w:b/>
                <w:sz w:val="22"/>
                <w:szCs w:val="22"/>
              </w:rPr>
              <w:t>)</w:t>
            </w:r>
          </w:p>
          <w:p w:rsidR="00ED0E87" w:rsidRPr="00D40E65" w:rsidRDefault="00ED0E87" w:rsidP="00364ED2">
            <w:pPr>
              <w:rPr>
                <w:rFonts w:ascii="Arial" w:hAnsi="Arial" w:cs="Arial"/>
                <w:b/>
                <w:sz w:val="22"/>
                <w:szCs w:val="22"/>
              </w:rPr>
            </w:pPr>
          </w:p>
        </w:tc>
        <w:tc>
          <w:tcPr>
            <w:tcW w:w="3073" w:type="pct"/>
          </w:tcPr>
          <w:p w:rsidR="00ED0E87" w:rsidRPr="00D40E65" w:rsidRDefault="00ED0E87" w:rsidP="00364ED2">
            <w:pPr>
              <w:rPr>
                <w:rFonts w:ascii="Arial" w:hAnsi="Arial" w:cs="Arial"/>
                <w:b/>
                <w:sz w:val="22"/>
                <w:szCs w:val="22"/>
              </w:rPr>
            </w:pPr>
            <w:r w:rsidRPr="003630A5">
              <w:rPr>
                <w:rFonts w:ascii="Arial" w:hAnsi="Arial" w:cs="Arial"/>
                <w:b/>
                <w:sz w:val="22"/>
                <w:szCs w:val="22"/>
              </w:rPr>
              <w:t>Fines and fee income</w:t>
            </w: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Pr="00D40E65" w:rsidRDefault="00ED0E87" w:rsidP="00364ED2">
            <w:pPr>
              <w:rPr>
                <w:rFonts w:ascii="Arial" w:hAnsi="Arial" w:cs="Arial"/>
                <w:sz w:val="22"/>
                <w:szCs w:val="22"/>
              </w:rPr>
            </w:pPr>
            <w:r w:rsidRPr="00D40E65">
              <w:rPr>
                <w:rFonts w:ascii="Arial" w:hAnsi="Arial" w:cs="Arial"/>
                <w:sz w:val="22"/>
                <w:szCs w:val="22"/>
              </w:rPr>
              <w:t>The profile of receipt of fees and fines income against forecast</w:t>
            </w: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522719" w:rsidRDefault="00522719" w:rsidP="00364ED2">
            <w:pPr>
              <w:ind w:left="720"/>
              <w:rPr>
                <w:rFonts w:ascii="Arial" w:hAnsi="Arial" w:cs="Arial"/>
                <w:sz w:val="22"/>
                <w:szCs w:val="22"/>
              </w:rPr>
            </w:pPr>
          </w:p>
          <w:p w:rsidR="00ED0E87" w:rsidRPr="00D40E65" w:rsidRDefault="00ED0E87" w:rsidP="00522719">
            <w:pPr>
              <w:rPr>
                <w:rFonts w:ascii="Arial" w:hAnsi="Arial" w:cs="Arial"/>
                <w:sz w:val="22"/>
                <w:szCs w:val="22"/>
              </w:rPr>
            </w:pP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Fees and fines income are a vari</w:t>
            </w:r>
            <w:r>
              <w:rPr>
                <w:rFonts w:ascii="Arial" w:hAnsi="Arial" w:cs="Arial"/>
                <w:sz w:val="22"/>
                <w:szCs w:val="22"/>
              </w:rPr>
              <w:t xml:space="preserve">able source of income but fund </w:t>
            </w:r>
            <w:r w:rsidRPr="00D40E65">
              <w:rPr>
                <w:rFonts w:ascii="Arial" w:hAnsi="Arial" w:cs="Arial"/>
                <w:sz w:val="22"/>
                <w:szCs w:val="22"/>
              </w:rPr>
              <w:t>approximately 25% of the overall SC</w:t>
            </w:r>
            <w:r w:rsidR="00844A89">
              <w:rPr>
                <w:rFonts w:ascii="Arial" w:hAnsi="Arial" w:cs="Arial"/>
                <w:sz w:val="22"/>
                <w:szCs w:val="22"/>
              </w:rPr>
              <w:t>T</w:t>
            </w:r>
            <w:r w:rsidRPr="00D40E65">
              <w:rPr>
                <w:rFonts w:ascii="Arial" w:hAnsi="Arial" w:cs="Arial"/>
                <w:sz w:val="22"/>
                <w:szCs w:val="22"/>
              </w:rPr>
              <w:t>S budget</w:t>
            </w:r>
            <w:r w:rsidR="004B3A3D">
              <w:rPr>
                <w:rFonts w:ascii="Arial" w:hAnsi="Arial" w:cs="Arial"/>
                <w:sz w:val="22"/>
                <w:szCs w:val="22"/>
              </w:rPr>
              <w:t>.</w:t>
            </w:r>
          </w:p>
          <w:p w:rsidR="00073C1A" w:rsidRPr="00D40E65" w:rsidRDefault="00073C1A" w:rsidP="00364ED2">
            <w:pPr>
              <w:rPr>
                <w:rFonts w:ascii="Arial" w:hAnsi="Arial" w:cs="Arial"/>
                <w:sz w:val="22"/>
                <w:szCs w:val="22"/>
              </w:rPr>
            </w:pPr>
          </w:p>
          <w:p w:rsidR="00073C1A" w:rsidRDefault="00ED0E87" w:rsidP="00073C1A">
            <w:pPr>
              <w:rPr>
                <w:rFonts w:ascii="Arial" w:hAnsi="Arial" w:cs="Arial"/>
                <w:sz w:val="22"/>
                <w:szCs w:val="22"/>
              </w:rPr>
            </w:pPr>
            <w:r w:rsidRPr="00D40E65">
              <w:rPr>
                <w:rFonts w:ascii="Arial" w:hAnsi="Arial" w:cs="Arial"/>
                <w:sz w:val="22"/>
                <w:szCs w:val="22"/>
              </w:rPr>
              <w:t>Under recovery will signal a potential shortfall in the SC</w:t>
            </w:r>
            <w:r w:rsidR="00844A89">
              <w:rPr>
                <w:rFonts w:ascii="Arial" w:hAnsi="Arial" w:cs="Arial"/>
                <w:sz w:val="22"/>
                <w:szCs w:val="22"/>
              </w:rPr>
              <w:t>T</w:t>
            </w:r>
            <w:r w:rsidRPr="00D40E65">
              <w:rPr>
                <w:rFonts w:ascii="Arial" w:hAnsi="Arial" w:cs="Arial"/>
                <w:sz w:val="22"/>
                <w:szCs w:val="22"/>
              </w:rPr>
              <w:t xml:space="preserve">S budget and possibly the need to scale back expenditure plans. </w:t>
            </w:r>
            <w:r w:rsidR="00073C1A">
              <w:rPr>
                <w:rFonts w:ascii="Arial" w:hAnsi="Arial" w:cs="Arial"/>
                <w:sz w:val="22"/>
                <w:szCs w:val="22"/>
              </w:rPr>
              <w:t>Similarly o</w:t>
            </w:r>
            <w:r w:rsidRPr="00D40E65">
              <w:rPr>
                <w:rFonts w:ascii="Arial" w:hAnsi="Arial" w:cs="Arial"/>
                <w:sz w:val="22"/>
                <w:szCs w:val="22"/>
              </w:rPr>
              <w:t xml:space="preserve">ver recovery </w:t>
            </w:r>
            <w:r w:rsidR="00073C1A">
              <w:rPr>
                <w:rFonts w:ascii="Arial" w:hAnsi="Arial" w:cs="Arial"/>
                <w:sz w:val="22"/>
                <w:szCs w:val="22"/>
              </w:rPr>
              <w:t xml:space="preserve">indicates potential additional income, which should be factored into plans where appropriate and may have impacts on the resources required to recover increased levels effectively. </w:t>
            </w:r>
          </w:p>
          <w:p w:rsidR="00073C1A" w:rsidRPr="00D40E65" w:rsidRDefault="00073C1A" w:rsidP="00073C1A">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DA0852" w:rsidRDefault="00DA0852" w:rsidP="00DA0852">
            <w:pPr>
              <w:rPr>
                <w:rFonts w:ascii="Arial" w:hAnsi="Arial" w:cs="Arial"/>
                <w:sz w:val="22"/>
                <w:szCs w:val="22"/>
              </w:rPr>
            </w:pPr>
            <w:r>
              <w:rPr>
                <w:rFonts w:ascii="Arial" w:hAnsi="Arial" w:cs="Arial"/>
                <w:sz w:val="22"/>
                <w:szCs w:val="22"/>
              </w:rPr>
              <w:t>Chief Financial Officer</w:t>
            </w:r>
          </w:p>
          <w:p w:rsidR="00073C1A" w:rsidRPr="00D40E65" w:rsidRDefault="00073C1A"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COP II and SEAS accounting system</w:t>
            </w:r>
          </w:p>
          <w:p w:rsidR="00073C1A" w:rsidRPr="00D40E65" w:rsidRDefault="00073C1A"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073C1A" w:rsidRDefault="00ED0E87" w:rsidP="00364ED2">
            <w:pPr>
              <w:rPr>
                <w:rFonts w:ascii="Arial" w:hAnsi="Arial" w:cs="Arial"/>
                <w:sz w:val="22"/>
                <w:szCs w:val="22"/>
              </w:rPr>
            </w:pPr>
            <w:r w:rsidRPr="00D40E65">
              <w:rPr>
                <w:rFonts w:ascii="Arial" w:hAnsi="Arial" w:cs="Arial"/>
                <w:sz w:val="22"/>
                <w:szCs w:val="22"/>
              </w:rPr>
              <w:t xml:space="preserve">Deduct budgeted year to date income from actual year to date income and divide by </w:t>
            </w:r>
            <w:r>
              <w:rPr>
                <w:rFonts w:ascii="Arial" w:hAnsi="Arial" w:cs="Arial"/>
                <w:sz w:val="22"/>
                <w:szCs w:val="22"/>
              </w:rPr>
              <w:t xml:space="preserve">budgeted year to date </w:t>
            </w:r>
            <w:r w:rsidRPr="00D40E65">
              <w:rPr>
                <w:rFonts w:ascii="Arial" w:hAnsi="Arial" w:cs="Arial"/>
                <w:sz w:val="22"/>
                <w:szCs w:val="22"/>
              </w:rPr>
              <w:t>income. A negative figure shows an under-recovery; a positive figure shows an over-recovery.</w:t>
            </w:r>
          </w:p>
          <w:p w:rsidR="00ED0E87" w:rsidRPr="00D40E65" w:rsidRDefault="00ED0E87" w:rsidP="00364ED2">
            <w:pPr>
              <w:rPr>
                <w:rFonts w:ascii="Arial" w:hAnsi="Arial" w:cs="Arial"/>
                <w:sz w:val="22"/>
                <w:szCs w:val="22"/>
              </w:rPr>
            </w:pPr>
            <w:r w:rsidRPr="00D40E65">
              <w:rPr>
                <w:rFonts w:ascii="Arial" w:hAnsi="Arial" w:cs="Arial"/>
                <w:sz w:val="22"/>
                <w:szCs w:val="22"/>
              </w:rPr>
              <w:t xml:space="preserve">  </w:t>
            </w: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Red – </w:t>
            </w:r>
            <w:r w:rsidR="008618EF">
              <w:rPr>
                <w:rFonts w:ascii="Arial" w:hAnsi="Arial" w:cs="Arial"/>
                <w:sz w:val="22"/>
                <w:szCs w:val="22"/>
              </w:rPr>
              <w:t>Less than -2.5% of forecast</w:t>
            </w:r>
            <w:r w:rsidRPr="00D40E65">
              <w:rPr>
                <w:rFonts w:ascii="Arial" w:hAnsi="Arial" w:cs="Arial"/>
                <w:sz w:val="22"/>
                <w:szCs w:val="22"/>
              </w:rPr>
              <w:tab/>
            </w:r>
          </w:p>
          <w:p w:rsidR="00ED0E87" w:rsidRPr="00D40E65" w:rsidRDefault="00ED0E87" w:rsidP="00364ED2">
            <w:pPr>
              <w:rPr>
                <w:rFonts w:ascii="Arial" w:hAnsi="Arial" w:cs="Arial"/>
                <w:sz w:val="22"/>
                <w:szCs w:val="22"/>
              </w:rPr>
            </w:pPr>
            <w:r w:rsidRPr="00D40E65">
              <w:rPr>
                <w:rFonts w:ascii="Arial" w:hAnsi="Arial" w:cs="Arial"/>
                <w:sz w:val="22"/>
                <w:szCs w:val="22"/>
              </w:rPr>
              <w:t>Amber</w:t>
            </w:r>
            <w:r w:rsidR="008618EF">
              <w:rPr>
                <w:rFonts w:ascii="Arial" w:hAnsi="Arial" w:cs="Arial"/>
                <w:sz w:val="22"/>
                <w:szCs w:val="22"/>
              </w:rPr>
              <w:t xml:space="preserve"> -</w:t>
            </w:r>
            <w:r w:rsidRPr="00D40E65">
              <w:rPr>
                <w:rFonts w:ascii="Arial" w:hAnsi="Arial" w:cs="Arial"/>
                <w:sz w:val="22"/>
                <w:szCs w:val="22"/>
              </w:rPr>
              <w:t xml:space="preserve"> Between -</w:t>
            </w:r>
            <w:r>
              <w:rPr>
                <w:rFonts w:ascii="Arial" w:hAnsi="Arial" w:cs="Arial"/>
                <w:sz w:val="22"/>
                <w:szCs w:val="22"/>
              </w:rPr>
              <w:t>1.5% and -2.5% of forecast</w:t>
            </w:r>
          </w:p>
          <w:p w:rsidR="00ED0E87" w:rsidRDefault="00ED0E87" w:rsidP="00364ED2">
            <w:pPr>
              <w:rPr>
                <w:rFonts w:ascii="Arial" w:hAnsi="Arial" w:cs="Arial"/>
                <w:sz w:val="22"/>
                <w:szCs w:val="22"/>
              </w:rPr>
            </w:pPr>
            <w:r w:rsidRPr="00D40E65">
              <w:rPr>
                <w:rFonts w:ascii="Arial" w:hAnsi="Arial" w:cs="Arial"/>
                <w:sz w:val="22"/>
                <w:szCs w:val="22"/>
              </w:rPr>
              <w:t xml:space="preserve">Green – </w:t>
            </w:r>
            <w:r w:rsidR="008618EF">
              <w:rPr>
                <w:rFonts w:ascii="Arial" w:hAnsi="Arial" w:cs="Arial"/>
                <w:sz w:val="22"/>
                <w:szCs w:val="22"/>
              </w:rPr>
              <w:t xml:space="preserve">From over-recovery to </w:t>
            </w:r>
            <w:r w:rsidR="00DA0852">
              <w:rPr>
                <w:rFonts w:ascii="Arial" w:hAnsi="Arial" w:cs="Arial"/>
                <w:sz w:val="22"/>
                <w:szCs w:val="22"/>
              </w:rPr>
              <w:t>-</w:t>
            </w:r>
            <w:r>
              <w:rPr>
                <w:rFonts w:ascii="Arial" w:hAnsi="Arial" w:cs="Arial"/>
                <w:sz w:val="22"/>
                <w:szCs w:val="22"/>
              </w:rPr>
              <w:t>1.5%</w:t>
            </w:r>
            <w:r w:rsidRPr="00D40E65">
              <w:rPr>
                <w:rFonts w:ascii="Arial" w:hAnsi="Arial" w:cs="Arial"/>
                <w:sz w:val="22"/>
                <w:szCs w:val="22"/>
              </w:rPr>
              <w:t xml:space="preserve"> of forecast</w:t>
            </w:r>
          </w:p>
          <w:p w:rsidR="00073C1A" w:rsidRPr="00D40E65" w:rsidRDefault="00073C1A"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Monthly</w:t>
            </w:r>
          </w:p>
          <w:p w:rsidR="008A5952" w:rsidRPr="00D40E65" w:rsidRDefault="008A5952"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8A5952" w:rsidRPr="00D40E65" w:rsidRDefault="008A5952"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When will the data be available</w:t>
            </w:r>
          </w:p>
        </w:tc>
        <w:tc>
          <w:tcPr>
            <w:tcW w:w="3073" w:type="pct"/>
          </w:tcPr>
          <w:p w:rsidR="00ED0E87" w:rsidRDefault="00522719" w:rsidP="00364ED2">
            <w:pPr>
              <w:rPr>
                <w:rFonts w:ascii="Arial" w:hAnsi="Arial" w:cs="Arial"/>
                <w:sz w:val="22"/>
                <w:szCs w:val="22"/>
              </w:rPr>
            </w:pPr>
            <w:r>
              <w:rPr>
                <w:rFonts w:ascii="Arial" w:hAnsi="Arial" w:cs="Arial"/>
                <w:sz w:val="22"/>
                <w:szCs w:val="22"/>
              </w:rPr>
              <w:t>Quarterly</w:t>
            </w:r>
          </w:p>
          <w:p w:rsidR="008A5952" w:rsidRPr="00D40E65" w:rsidRDefault="008A5952"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Other Comments</w:t>
            </w:r>
          </w:p>
        </w:tc>
        <w:tc>
          <w:tcPr>
            <w:tcW w:w="3073" w:type="pct"/>
          </w:tcPr>
          <w:p w:rsidR="008A5952" w:rsidRDefault="00ED0E87" w:rsidP="00364ED2">
            <w:pPr>
              <w:rPr>
                <w:rFonts w:ascii="Arial" w:hAnsi="Arial" w:cs="Arial"/>
                <w:sz w:val="22"/>
                <w:szCs w:val="22"/>
              </w:rPr>
            </w:pPr>
            <w:r w:rsidRPr="00D40E65">
              <w:rPr>
                <w:rFonts w:ascii="Arial" w:hAnsi="Arial" w:cs="Arial"/>
                <w:sz w:val="22"/>
                <w:szCs w:val="22"/>
              </w:rPr>
              <w:t xml:space="preserve">The </w:t>
            </w:r>
            <w:r w:rsidR="00DA0852">
              <w:rPr>
                <w:rFonts w:ascii="Arial" w:hAnsi="Arial" w:cs="Arial"/>
                <w:sz w:val="22"/>
                <w:szCs w:val="22"/>
              </w:rPr>
              <w:t>RAG</w:t>
            </w:r>
            <w:r w:rsidRPr="00D40E65">
              <w:rPr>
                <w:rFonts w:ascii="Arial" w:hAnsi="Arial" w:cs="Arial"/>
                <w:sz w:val="22"/>
                <w:szCs w:val="22"/>
              </w:rPr>
              <w:t xml:space="preserve"> criteria reflect the importance of managing to forecast. Under-recovery has more challenging consequences than over-recovery because of the impact on the budget position.</w:t>
            </w:r>
          </w:p>
          <w:p w:rsidR="00ED0E87" w:rsidRPr="00D40E65" w:rsidRDefault="00ED0E87" w:rsidP="00364ED2">
            <w:pPr>
              <w:rPr>
                <w:rFonts w:ascii="Arial" w:hAnsi="Arial" w:cs="Arial"/>
                <w:sz w:val="22"/>
                <w:szCs w:val="22"/>
              </w:rPr>
            </w:pPr>
          </w:p>
        </w:tc>
      </w:tr>
    </w:tbl>
    <w:p w:rsidR="00ED0E87" w:rsidRDefault="00ED0E87" w:rsidP="00ED0E87">
      <w:pPr>
        <w:rPr>
          <w:rFonts w:ascii="Arial" w:hAnsi="Arial" w:cs="Arial"/>
          <w:sz w:val="22"/>
          <w:szCs w:val="22"/>
        </w:rPr>
      </w:pPr>
    </w:p>
    <w:p w:rsidR="008A5952" w:rsidRDefault="008A5952" w:rsidP="00ED0E87">
      <w:pPr>
        <w:rPr>
          <w:rFonts w:ascii="Arial" w:hAnsi="Arial" w:cs="Arial"/>
          <w:sz w:val="22"/>
          <w:szCs w:val="22"/>
        </w:rPr>
        <w:sectPr w:rsidR="008A5952">
          <w:pgSz w:w="11906" w:h="16838"/>
          <w:pgMar w:top="1440" w:right="1800" w:bottom="1440" w:left="1800" w:header="708" w:footer="708" w:gutter="0"/>
          <w:cols w:space="708"/>
          <w:docGrid w:linePitch="360"/>
        </w:sectPr>
      </w:pPr>
    </w:p>
    <w:p w:rsidR="008A5952" w:rsidRPr="00D40E65" w:rsidRDefault="008A5952" w:rsidP="00ED0E8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5238"/>
      </w:tblGrid>
      <w:tr w:rsidR="00ED0E87" w:rsidRPr="00D40E65" w:rsidTr="00351997">
        <w:tc>
          <w:tcPr>
            <w:tcW w:w="1927" w:type="pct"/>
            <w:shd w:val="clear" w:color="auto" w:fill="BAA874"/>
          </w:tcPr>
          <w:p w:rsidR="00ED0E87" w:rsidRPr="00D40E65" w:rsidRDefault="00ED0E87" w:rsidP="00656CD8">
            <w:pPr>
              <w:rPr>
                <w:rFonts w:ascii="Arial" w:hAnsi="Arial" w:cs="Arial"/>
                <w:b/>
                <w:sz w:val="22"/>
                <w:szCs w:val="22"/>
              </w:rPr>
            </w:pPr>
            <w:r w:rsidRPr="00D57289">
              <w:rPr>
                <w:rFonts w:ascii="Arial" w:hAnsi="Arial" w:cs="Arial"/>
                <w:b/>
                <w:szCs w:val="22"/>
              </w:rPr>
              <w:t>Strategic Priority 9</w:t>
            </w:r>
          </w:p>
        </w:tc>
        <w:tc>
          <w:tcPr>
            <w:tcW w:w="3073" w:type="pct"/>
            <w:shd w:val="clear" w:color="auto" w:fill="BAA874"/>
          </w:tcPr>
          <w:p w:rsidR="00ED0E87" w:rsidRPr="00D40E65" w:rsidRDefault="00ED0E87" w:rsidP="00364ED2">
            <w:pPr>
              <w:rPr>
                <w:rFonts w:ascii="Arial" w:hAnsi="Arial" w:cs="Arial"/>
                <w:b/>
                <w:sz w:val="22"/>
                <w:szCs w:val="22"/>
              </w:rPr>
            </w:pPr>
            <w:r w:rsidRPr="00D57289">
              <w:rPr>
                <w:rFonts w:ascii="Arial" w:hAnsi="Arial" w:cs="Arial"/>
                <w:b/>
                <w:szCs w:val="22"/>
              </w:rPr>
              <w:t>Best Value</w:t>
            </w:r>
          </w:p>
        </w:tc>
      </w:tr>
      <w:tr w:rsidR="00ED0E87" w:rsidRPr="00D40E65" w:rsidTr="00364ED2">
        <w:tc>
          <w:tcPr>
            <w:tcW w:w="1927" w:type="pct"/>
          </w:tcPr>
          <w:p w:rsidR="00ED0E87" w:rsidRPr="00764E93" w:rsidRDefault="00ED0E87" w:rsidP="00364ED2">
            <w:pPr>
              <w:rPr>
                <w:rFonts w:ascii="Arial" w:hAnsi="Arial" w:cs="Arial"/>
                <w:b/>
                <w:sz w:val="22"/>
                <w:szCs w:val="22"/>
              </w:rPr>
            </w:pPr>
            <w:r>
              <w:rPr>
                <w:rFonts w:ascii="Arial" w:hAnsi="Arial" w:cs="Arial"/>
                <w:b/>
                <w:sz w:val="22"/>
                <w:szCs w:val="22"/>
              </w:rPr>
              <w:t>Measure 9</w:t>
            </w:r>
            <w:r w:rsidR="006A6D8B">
              <w:rPr>
                <w:rFonts w:ascii="Arial" w:hAnsi="Arial" w:cs="Arial"/>
                <w:b/>
                <w:sz w:val="22"/>
                <w:szCs w:val="22"/>
              </w:rPr>
              <w:t>(</w:t>
            </w:r>
            <w:r>
              <w:rPr>
                <w:rFonts w:ascii="Arial" w:hAnsi="Arial" w:cs="Arial"/>
                <w:b/>
                <w:sz w:val="22"/>
                <w:szCs w:val="22"/>
              </w:rPr>
              <w:t>a</w:t>
            </w:r>
            <w:r w:rsidR="006A6D8B">
              <w:rPr>
                <w:rFonts w:ascii="Arial" w:hAnsi="Arial" w:cs="Arial"/>
                <w:b/>
                <w:sz w:val="22"/>
                <w:szCs w:val="22"/>
              </w:rPr>
              <w:t>)</w:t>
            </w:r>
          </w:p>
        </w:tc>
        <w:tc>
          <w:tcPr>
            <w:tcW w:w="3073" w:type="pct"/>
          </w:tcPr>
          <w:p w:rsidR="00ED0E87" w:rsidRPr="00764E93" w:rsidRDefault="00ED0E87" w:rsidP="00364ED2">
            <w:pPr>
              <w:rPr>
                <w:rFonts w:ascii="Arial" w:hAnsi="Arial" w:cs="Arial"/>
                <w:b/>
                <w:sz w:val="22"/>
                <w:szCs w:val="22"/>
              </w:rPr>
            </w:pPr>
            <w:r w:rsidRPr="00E37F1F">
              <w:rPr>
                <w:rFonts w:ascii="Arial" w:hAnsi="Arial" w:cs="Arial"/>
                <w:b/>
                <w:sz w:val="22"/>
                <w:szCs w:val="22"/>
              </w:rPr>
              <w:t>Delivering our change programme</w:t>
            </w: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Description</w:t>
            </w:r>
            <w:r w:rsidR="00060B66">
              <w:rPr>
                <w:rFonts w:ascii="Arial" w:hAnsi="Arial" w:cs="Arial"/>
                <w:sz w:val="22"/>
                <w:szCs w:val="22"/>
              </w:rPr>
              <w:t xml:space="preserve"> of Measure</w:t>
            </w:r>
          </w:p>
        </w:tc>
        <w:tc>
          <w:tcPr>
            <w:tcW w:w="3073" w:type="pct"/>
          </w:tcPr>
          <w:p w:rsidR="00ED0E87" w:rsidRDefault="00ED0E87" w:rsidP="008A5952">
            <w:pPr>
              <w:rPr>
                <w:rFonts w:ascii="Arial" w:hAnsi="Arial" w:cs="Arial"/>
                <w:sz w:val="22"/>
                <w:szCs w:val="22"/>
              </w:rPr>
            </w:pPr>
            <w:r w:rsidRPr="00D40E65">
              <w:rPr>
                <w:rFonts w:ascii="Arial" w:hAnsi="Arial" w:cs="Arial"/>
                <w:sz w:val="22"/>
                <w:szCs w:val="22"/>
              </w:rPr>
              <w:t xml:space="preserve">The </w:t>
            </w:r>
            <w:r w:rsidR="008A5952">
              <w:rPr>
                <w:rFonts w:ascii="Arial" w:hAnsi="Arial" w:cs="Arial"/>
                <w:sz w:val="22"/>
                <w:szCs w:val="22"/>
              </w:rPr>
              <w:t xml:space="preserve">overall </w:t>
            </w:r>
            <w:r w:rsidRPr="00D40E65">
              <w:rPr>
                <w:rFonts w:ascii="Arial" w:hAnsi="Arial" w:cs="Arial"/>
                <w:sz w:val="22"/>
                <w:szCs w:val="22"/>
              </w:rPr>
              <w:t xml:space="preserve">RAG status of </w:t>
            </w:r>
            <w:r>
              <w:rPr>
                <w:rFonts w:ascii="Arial" w:hAnsi="Arial" w:cs="Arial"/>
                <w:sz w:val="22"/>
                <w:szCs w:val="22"/>
              </w:rPr>
              <w:t>the</w:t>
            </w:r>
            <w:r w:rsidRPr="00D40E65">
              <w:rPr>
                <w:rFonts w:ascii="Arial" w:hAnsi="Arial" w:cs="Arial"/>
                <w:sz w:val="22"/>
                <w:szCs w:val="22"/>
              </w:rPr>
              <w:t xml:space="preserve"> </w:t>
            </w:r>
            <w:r w:rsidR="008A5952">
              <w:rPr>
                <w:rFonts w:ascii="Arial" w:hAnsi="Arial" w:cs="Arial"/>
                <w:sz w:val="22"/>
                <w:szCs w:val="22"/>
              </w:rPr>
              <w:t>SC</w:t>
            </w:r>
            <w:r w:rsidR="00FE245F">
              <w:rPr>
                <w:rFonts w:ascii="Arial" w:hAnsi="Arial" w:cs="Arial"/>
                <w:sz w:val="22"/>
                <w:szCs w:val="22"/>
              </w:rPr>
              <w:t>T</w:t>
            </w:r>
            <w:r w:rsidR="008A5952">
              <w:rPr>
                <w:rFonts w:ascii="Arial" w:hAnsi="Arial" w:cs="Arial"/>
                <w:sz w:val="22"/>
                <w:szCs w:val="22"/>
              </w:rPr>
              <w:t>S portfolio of change.</w:t>
            </w:r>
          </w:p>
          <w:p w:rsidR="008A5952" w:rsidRPr="00D40E65" w:rsidRDefault="008A5952" w:rsidP="008A595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Purpose of Measure</w:t>
            </w:r>
          </w:p>
          <w:p w:rsidR="00522719" w:rsidRDefault="00522719" w:rsidP="00522719">
            <w:pPr>
              <w:rPr>
                <w:rFonts w:ascii="Arial" w:hAnsi="Arial" w:cs="Arial"/>
                <w:sz w:val="22"/>
                <w:szCs w:val="22"/>
              </w:rPr>
            </w:pPr>
          </w:p>
          <w:p w:rsidR="00ED0E87" w:rsidRPr="00D40E65" w:rsidRDefault="00ED0E87" w:rsidP="00522719">
            <w:pPr>
              <w:rPr>
                <w:rFonts w:ascii="Arial" w:hAnsi="Arial" w:cs="Arial"/>
                <w:sz w:val="22"/>
                <w:szCs w:val="22"/>
              </w:rPr>
            </w:pPr>
          </w:p>
        </w:tc>
        <w:tc>
          <w:tcPr>
            <w:tcW w:w="3073" w:type="pct"/>
          </w:tcPr>
          <w:p w:rsidR="00ED0E87" w:rsidRDefault="00ED0E87" w:rsidP="00364ED2">
            <w:pPr>
              <w:rPr>
                <w:rFonts w:ascii="Arial" w:hAnsi="Arial" w:cs="Arial"/>
                <w:sz w:val="22"/>
                <w:szCs w:val="22"/>
              </w:rPr>
            </w:pPr>
            <w:r>
              <w:rPr>
                <w:rFonts w:ascii="Arial" w:hAnsi="Arial" w:cs="Arial"/>
                <w:sz w:val="22"/>
                <w:szCs w:val="22"/>
              </w:rPr>
              <w:t>The SC</w:t>
            </w:r>
            <w:r w:rsidR="00BB3A75">
              <w:rPr>
                <w:rFonts w:ascii="Arial" w:hAnsi="Arial" w:cs="Arial"/>
                <w:sz w:val="22"/>
                <w:szCs w:val="22"/>
              </w:rPr>
              <w:t>T</w:t>
            </w:r>
            <w:r>
              <w:rPr>
                <w:rFonts w:ascii="Arial" w:hAnsi="Arial" w:cs="Arial"/>
                <w:sz w:val="22"/>
                <w:szCs w:val="22"/>
              </w:rPr>
              <w:t xml:space="preserve">S Corporate Plan for </w:t>
            </w:r>
            <w:r w:rsidRPr="00396295">
              <w:rPr>
                <w:rFonts w:ascii="Arial" w:hAnsi="Arial" w:cs="Arial"/>
                <w:sz w:val="22"/>
                <w:szCs w:val="22"/>
              </w:rPr>
              <w:t>2014/17</w:t>
            </w:r>
            <w:r>
              <w:rPr>
                <w:rFonts w:ascii="Arial" w:hAnsi="Arial" w:cs="Arial"/>
                <w:sz w:val="22"/>
                <w:szCs w:val="22"/>
              </w:rPr>
              <w:t xml:space="preserve"> sets out an ambitious plan for building a stronger </w:t>
            </w:r>
            <w:r w:rsidR="00FE245F">
              <w:rPr>
                <w:rFonts w:ascii="Arial" w:hAnsi="Arial" w:cs="Arial"/>
                <w:sz w:val="22"/>
                <w:szCs w:val="22"/>
              </w:rPr>
              <w:t>s</w:t>
            </w:r>
            <w:r>
              <w:rPr>
                <w:rFonts w:ascii="Arial" w:hAnsi="Arial" w:cs="Arial"/>
                <w:sz w:val="22"/>
                <w:szCs w:val="22"/>
              </w:rPr>
              <w:t>ervice. The plan identifies a range of change initiatives which require internal process review and collaboration with other justice organisations if the plan is to be successfully delivered and its objectives met.</w:t>
            </w:r>
          </w:p>
          <w:p w:rsidR="008A5952" w:rsidRPr="00D40E65" w:rsidRDefault="008A5952" w:rsidP="00364ED2">
            <w:pPr>
              <w:rPr>
                <w:rFonts w:ascii="Arial" w:hAnsi="Arial" w:cs="Arial"/>
                <w:sz w:val="22"/>
                <w:szCs w:val="22"/>
              </w:rPr>
            </w:pPr>
          </w:p>
          <w:p w:rsidR="00ED0E87" w:rsidRDefault="00ED0E87" w:rsidP="00364ED2">
            <w:pPr>
              <w:rPr>
                <w:rFonts w:ascii="Arial" w:hAnsi="Arial" w:cs="Arial"/>
                <w:sz w:val="22"/>
                <w:szCs w:val="22"/>
              </w:rPr>
            </w:pPr>
            <w:r w:rsidRPr="00D40E65">
              <w:rPr>
                <w:rFonts w:ascii="Arial" w:hAnsi="Arial" w:cs="Arial"/>
                <w:sz w:val="22"/>
                <w:szCs w:val="22"/>
              </w:rPr>
              <w:t xml:space="preserve">This indicator </w:t>
            </w:r>
            <w:r w:rsidR="00FE245F">
              <w:rPr>
                <w:rFonts w:ascii="Arial" w:hAnsi="Arial" w:cs="Arial"/>
                <w:sz w:val="22"/>
                <w:szCs w:val="22"/>
              </w:rPr>
              <w:t>provides an overview on the</w:t>
            </w:r>
            <w:r w:rsidRPr="00D40E65">
              <w:rPr>
                <w:rFonts w:ascii="Arial" w:hAnsi="Arial" w:cs="Arial"/>
                <w:sz w:val="22"/>
                <w:szCs w:val="22"/>
              </w:rPr>
              <w:t xml:space="preserve"> progress SC</w:t>
            </w:r>
            <w:r w:rsidR="00FE245F">
              <w:rPr>
                <w:rFonts w:ascii="Arial" w:hAnsi="Arial" w:cs="Arial"/>
                <w:sz w:val="22"/>
                <w:szCs w:val="22"/>
              </w:rPr>
              <w:t>T</w:t>
            </w:r>
            <w:r w:rsidRPr="00D40E65">
              <w:rPr>
                <w:rFonts w:ascii="Arial" w:hAnsi="Arial" w:cs="Arial"/>
                <w:sz w:val="22"/>
                <w:szCs w:val="22"/>
              </w:rPr>
              <w:t xml:space="preserve">S is making towards </w:t>
            </w:r>
            <w:r>
              <w:rPr>
                <w:rFonts w:ascii="Arial" w:hAnsi="Arial" w:cs="Arial"/>
                <w:sz w:val="22"/>
                <w:szCs w:val="22"/>
              </w:rPr>
              <w:t>meeting these</w:t>
            </w:r>
            <w:r w:rsidRPr="00D40E65">
              <w:rPr>
                <w:rFonts w:ascii="Arial" w:hAnsi="Arial" w:cs="Arial"/>
                <w:sz w:val="22"/>
                <w:szCs w:val="22"/>
              </w:rPr>
              <w:t xml:space="preserve"> objectives</w:t>
            </w:r>
            <w:r w:rsidR="00FE245F">
              <w:rPr>
                <w:rFonts w:ascii="Arial" w:hAnsi="Arial" w:cs="Arial"/>
                <w:sz w:val="22"/>
                <w:szCs w:val="22"/>
              </w:rPr>
              <w:t>.</w:t>
            </w:r>
          </w:p>
          <w:p w:rsidR="008A5952" w:rsidRPr="00D40E65" w:rsidRDefault="008A5952"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Measure Owner</w:t>
            </w:r>
          </w:p>
        </w:tc>
        <w:tc>
          <w:tcPr>
            <w:tcW w:w="3073" w:type="pct"/>
          </w:tcPr>
          <w:p w:rsidR="008A5952" w:rsidRDefault="00ED0E87" w:rsidP="008A5952">
            <w:pPr>
              <w:rPr>
                <w:rFonts w:ascii="Arial" w:hAnsi="Arial" w:cs="Arial"/>
                <w:sz w:val="22"/>
                <w:szCs w:val="22"/>
              </w:rPr>
            </w:pPr>
            <w:r w:rsidRPr="00E37F1F">
              <w:rPr>
                <w:rFonts w:ascii="Arial" w:hAnsi="Arial" w:cs="Arial"/>
                <w:sz w:val="22"/>
                <w:szCs w:val="22"/>
              </w:rPr>
              <w:t xml:space="preserve">Head of </w:t>
            </w:r>
            <w:r w:rsidR="008A5952">
              <w:rPr>
                <w:rFonts w:ascii="Arial" w:hAnsi="Arial" w:cs="Arial"/>
                <w:sz w:val="22"/>
                <w:szCs w:val="22"/>
              </w:rPr>
              <w:t>Portfolio Office</w:t>
            </w:r>
          </w:p>
          <w:p w:rsidR="00ED0E87" w:rsidRPr="00D40E65" w:rsidRDefault="00ED0E87" w:rsidP="008A5952">
            <w:pPr>
              <w:rPr>
                <w:rFonts w:ascii="Arial" w:hAnsi="Arial" w:cs="Arial"/>
                <w:sz w:val="22"/>
                <w:szCs w:val="22"/>
              </w:rPr>
            </w:pPr>
            <w:r>
              <w:rPr>
                <w:rFonts w:ascii="Arial" w:hAnsi="Arial" w:cs="Arial"/>
                <w:sz w:val="22"/>
                <w:szCs w:val="22"/>
              </w:rPr>
              <w:t xml:space="preserve"> </w:t>
            </w: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Source of the data</w:t>
            </w:r>
          </w:p>
        </w:tc>
        <w:tc>
          <w:tcPr>
            <w:tcW w:w="3073" w:type="pct"/>
          </w:tcPr>
          <w:p w:rsidR="008A5952" w:rsidRDefault="008A5952" w:rsidP="00364ED2">
            <w:pPr>
              <w:rPr>
                <w:rFonts w:ascii="Arial" w:hAnsi="Arial" w:cs="Arial"/>
                <w:sz w:val="22"/>
                <w:szCs w:val="22"/>
              </w:rPr>
            </w:pPr>
            <w:r>
              <w:rPr>
                <w:rFonts w:ascii="Arial" w:hAnsi="Arial" w:cs="Arial"/>
                <w:sz w:val="22"/>
                <w:szCs w:val="22"/>
              </w:rPr>
              <w:t xml:space="preserve">Business Plan Delivery </w:t>
            </w:r>
            <w:proofErr w:type="gramStart"/>
            <w:r>
              <w:rPr>
                <w:rFonts w:ascii="Arial" w:hAnsi="Arial" w:cs="Arial"/>
                <w:sz w:val="22"/>
                <w:szCs w:val="22"/>
              </w:rPr>
              <w:t>Report,</w:t>
            </w:r>
            <w:proofErr w:type="gramEnd"/>
            <w:r>
              <w:rPr>
                <w:rFonts w:ascii="Arial" w:hAnsi="Arial" w:cs="Arial"/>
                <w:sz w:val="22"/>
                <w:szCs w:val="22"/>
              </w:rPr>
              <w:t xml:space="preserve"> informed by individual project highlight reports and Programme Board assessments.</w:t>
            </w:r>
          </w:p>
          <w:p w:rsidR="00ED0E87" w:rsidRPr="00D40E65" w:rsidRDefault="00ED0E87" w:rsidP="00364ED2">
            <w:pPr>
              <w:rPr>
                <w:rFonts w:ascii="Arial" w:hAnsi="Arial" w:cs="Arial"/>
                <w:sz w:val="22"/>
                <w:szCs w:val="22"/>
              </w:rPr>
            </w:pPr>
            <w:r>
              <w:rPr>
                <w:rFonts w:ascii="Arial" w:hAnsi="Arial" w:cs="Arial"/>
                <w:sz w:val="22"/>
                <w:szCs w:val="22"/>
              </w:rPr>
              <w:t>.</w:t>
            </w: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Basis of calculation</w:t>
            </w:r>
          </w:p>
        </w:tc>
        <w:tc>
          <w:tcPr>
            <w:tcW w:w="3073" w:type="pct"/>
          </w:tcPr>
          <w:p w:rsidR="00ED0E87" w:rsidRDefault="00ED0E87" w:rsidP="008A5952">
            <w:pPr>
              <w:rPr>
                <w:rFonts w:ascii="Arial" w:hAnsi="Arial" w:cs="Arial"/>
                <w:sz w:val="22"/>
                <w:szCs w:val="22"/>
              </w:rPr>
            </w:pPr>
            <w:r w:rsidRPr="00D40E65">
              <w:rPr>
                <w:rFonts w:ascii="Arial" w:hAnsi="Arial" w:cs="Arial"/>
                <w:sz w:val="22"/>
                <w:szCs w:val="22"/>
              </w:rPr>
              <w:t>RAG status of SC</w:t>
            </w:r>
            <w:r w:rsidR="00FE245F">
              <w:rPr>
                <w:rFonts w:ascii="Arial" w:hAnsi="Arial" w:cs="Arial"/>
                <w:sz w:val="22"/>
                <w:szCs w:val="22"/>
              </w:rPr>
              <w:t>T</w:t>
            </w:r>
            <w:r w:rsidRPr="00D40E65">
              <w:rPr>
                <w:rFonts w:ascii="Arial" w:hAnsi="Arial" w:cs="Arial"/>
                <w:sz w:val="22"/>
                <w:szCs w:val="22"/>
              </w:rPr>
              <w:t xml:space="preserve">S </w:t>
            </w:r>
            <w:r>
              <w:rPr>
                <w:rFonts w:ascii="Arial" w:hAnsi="Arial" w:cs="Arial"/>
                <w:sz w:val="22"/>
                <w:szCs w:val="22"/>
              </w:rPr>
              <w:t xml:space="preserve">Corporate Plan Implementation Portfolio will be determined by the </w:t>
            </w:r>
            <w:r w:rsidR="00FE245F">
              <w:rPr>
                <w:rFonts w:ascii="Arial" w:hAnsi="Arial" w:cs="Arial"/>
                <w:sz w:val="22"/>
                <w:szCs w:val="22"/>
              </w:rPr>
              <w:t>SCTS Executive Team, based on the advice of the Portfolio Office,</w:t>
            </w:r>
            <w:r>
              <w:rPr>
                <w:rFonts w:ascii="Arial" w:hAnsi="Arial" w:cs="Arial"/>
                <w:sz w:val="22"/>
                <w:szCs w:val="22"/>
              </w:rPr>
              <w:t xml:space="preserve"> when it periodically reviews the </w:t>
            </w:r>
            <w:r w:rsidR="008A5952">
              <w:rPr>
                <w:rFonts w:ascii="Arial" w:hAnsi="Arial" w:cs="Arial"/>
                <w:sz w:val="22"/>
                <w:szCs w:val="22"/>
              </w:rPr>
              <w:t>business plan delivery report</w:t>
            </w:r>
            <w:r>
              <w:rPr>
                <w:rFonts w:ascii="Arial" w:hAnsi="Arial" w:cs="Arial"/>
                <w:sz w:val="22"/>
                <w:szCs w:val="22"/>
              </w:rPr>
              <w:t>.</w:t>
            </w:r>
          </w:p>
          <w:p w:rsidR="008A5952" w:rsidRPr="00D40E65" w:rsidRDefault="008A5952" w:rsidP="008A595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Performance thresholds for Red/Amber/Green</w:t>
            </w:r>
          </w:p>
        </w:tc>
        <w:tc>
          <w:tcPr>
            <w:tcW w:w="3073" w:type="pct"/>
          </w:tcPr>
          <w:p w:rsidR="00ED0E87" w:rsidRDefault="00ED0E87" w:rsidP="00364ED2">
            <w:pPr>
              <w:rPr>
                <w:rFonts w:ascii="Arial" w:hAnsi="Arial" w:cs="Arial"/>
                <w:sz w:val="22"/>
                <w:szCs w:val="22"/>
              </w:rPr>
            </w:pPr>
            <w:r>
              <w:rPr>
                <w:rFonts w:ascii="Arial" w:hAnsi="Arial" w:cs="Arial"/>
                <w:sz w:val="22"/>
                <w:szCs w:val="22"/>
              </w:rPr>
              <w:t xml:space="preserve">Red - if the portfolio is currently not on track and </w:t>
            </w:r>
            <w:r w:rsidR="00A76ED1">
              <w:rPr>
                <w:rFonts w:ascii="Arial" w:hAnsi="Arial" w:cs="Arial"/>
                <w:sz w:val="22"/>
                <w:szCs w:val="22"/>
              </w:rPr>
              <w:t>requires</w:t>
            </w:r>
            <w:r>
              <w:rPr>
                <w:rFonts w:ascii="Arial" w:hAnsi="Arial" w:cs="Arial"/>
                <w:sz w:val="22"/>
                <w:szCs w:val="22"/>
              </w:rPr>
              <w:t xml:space="preserve"> decisions (on rescheduling, commitment of resources or changes to specification) which can only be taken by the SC</w:t>
            </w:r>
            <w:r w:rsidR="00FE245F">
              <w:rPr>
                <w:rFonts w:ascii="Arial" w:hAnsi="Arial" w:cs="Arial"/>
                <w:sz w:val="22"/>
                <w:szCs w:val="22"/>
              </w:rPr>
              <w:t>T</w:t>
            </w:r>
            <w:r>
              <w:rPr>
                <w:rFonts w:ascii="Arial" w:hAnsi="Arial" w:cs="Arial"/>
                <w:sz w:val="22"/>
                <w:szCs w:val="22"/>
              </w:rPr>
              <w:t>S board.</w:t>
            </w:r>
          </w:p>
          <w:p w:rsidR="00A76ED1" w:rsidRDefault="00A76ED1" w:rsidP="00364ED2">
            <w:pPr>
              <w:rPr>
                <w:rFonts w:ascii="Arial" w:hAnsi="Arial" w:cs="Arial"/>
                <w:sz w:val="22"/>
                <w:szCs w:val="22"/>
              </w:rPr>
            </w:pPr>
          </w:p>
          <w:p w:rsidR="00ED0E87" w:rsidRDefault="00ED0E87" w:rsidP="00364ED2">
            <w:pPr>
              <w:rPr>
                <w:rFonts w:ascii="Arial" w:hAnsi="Arial" w:cs="Arial"/>
                <w:sz w:val="22"/>
                <w:szCs w:val="22"/>
              </w:rPr>
            </w:pPr>
            <w:r>
              <w:rPr>
                <w:rFonts w:ascii="Arial" w:hAnsi="Arial" w:cs="Arial"/>
                <w:sz w:val="22"/>
                <w:szCs w:val="22"/>
              </w:rPr>
              <w:t xml:space="preserve">Amber - if the portfolio is currently not on track, but the problems are within agreed tolerances and can be handled by the </w:t>
            </w:r>
            <w:r w:rsidR="004B3A3D">
              <w:rPr>
                <w:rFonts w:ascii="Arial" w:hAnsi="Arial" w:cs="Arial"/>
                <w:sz w:val="22"/>
                <w:szCs w:val="22"/>
              </w:rPr>
              <w:t>Executive overseeing</w:t>
            </w:r>
            <w:r w:rsidR="00A76ED1">
              <w:rPr>
                <w:rFonts w:ascii="Arial" w:hAnsi="Arial" w:cs="Arial"/>
                <w:sz w:val="22"/>
                <w:szCs w:val="22"/>
              </w:rPr>
              <w:t xml:space="preserve"> the delivery of change</w:t>
            </w:r>
            <w:r>
              <w:rPr>
                <w:rFonts w:ascii="Arial" w:hAnsi="Arial" w:cs="Arial"/>
                <w:sz w:val="22"/>
                <w:szCs w:val="22"/>
              </w:rPr>
              <w:t>.</w:t>
            </w:r>
          </w:p>
          <w:p w:rsidR="00A76ED1" w:rsidRDefault="00A76ED1" w:rsidP="00364ED2">
            <w:pPr>
              <w:rPr>
                <w:rFonts w:ascii="Arial" w:hAnsi="Arial" w:cs="Arial"/>
                <w:sz w:val="22"/>
                <w:szCs w:val="22"/>
              </w:rPr>
            </w:pPr>
          </w:p>
          <w:p w:rsidR="00ED0E87" w:rsidRDefault="00ED0E87" w:rsidP="00364ED2">
            <w:pPr>
              <w:rPr>
                <w:rFonts w:ascii="Arial" w:hAnsi="Arial" w:cs="Arial"/>
                <w:sz w:val="22"/>
                <w:szCs w:val="22"/>
              </w:rPr>
            </w:pPr>
            <w:r>
              <w:rPr>
                <w:rFonts w:ascii="Arial" w:hAnsi="Arial" w:cs="Arial"/>
                <w:sz w:val="22"/>
                <w:szCs w:val="22"/>
              </w:rPr>
              <w:t>Green - if the portfolio is currently on track to meet its time, cost and quality criteria.</w:t>
            </w:r>
          </w:p>
          <w:p w:rsidR="00A76ED1" w:rsidRPr="00D40E65" w:rsidRDefault="00A76ED1"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Frequency of Collection</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A76ED1" w:rsidRPr="00D40E65" w:rsidRDefault="00A76ED1"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 xml:space="preserve">Frequency of Reporting </w:t>
            </w:r>
          </w:p>
        </w:tc>
        <w:tc>
          <w:tcPr>
            <w:tcW w:w="3073" w:type="pct"/>
          </w:tcPr>
          <w:p w:rsidR="00ED0E87" w:rsidRDefault="00ED0E87" w:rsidP="00364ED2">
            <w:pPr>
              <w:rPr>
                <w:rFonts w:ascii="Arial" w:hAnsi="Arial" w:cs="Arial"/>
                <w:sz w:val="22"/>
                <w:szCs w:val="22"/>
              </w:rPr>
            </w:pPr>
            <w:r w:rsidRPr="00D40E65">
              <w:rPr>
                <w:rFonts w:ascii="Arial" w:hAnsi="Arial" w:cs="Arial"/>
                <w:sz w:val="22"/>
                <w:szCs w:val="22"/>
              </w:rPr>
              <w:t>Quarterly</w:t>
            </w:r>
          </w:p>
          <w:p w:rsidR="00A76ED1" w:rsidRPr="00D40E65" w:rsidRDefault="00A76ED1" w:rsidP="00364ED2">
            <w:pPr>
              <w:rPr>
                <w:rFonts w:ascii="Arial" w:hAnsi="Arial" w:cs="Arial"/>
                <w:sz w:val="22"/>
                <w:szCs w:val="22"/>
              </w:rPr>
            </w:pPr>
          </w:p>
        </w:tc>
      </w:tr>
      <w:tr w:rsidR="00ED0E87" w:rsidRPr="00D40E65" w:rsidTr="00364ED2">
        <w:tc>
          <w:tcPr>
            <w:tcW w:w="1927" w:type="pct"/>
          </w:tcPr>
          <w:p w:rsidR="00ED0E87" w:rsidRPr="00D40E65" w:rsidRDefault="00ED0E87" w:rsidP="00364ED2">
            <w:pPr>
              <w:rPr>
                <w:rFonts w:ascii="Arial" w:hAnsi="Arial" w:cs="Arial"/>
                <w:sz w:val="22"/>
                <w:szCs w:val="22"/>
              </w:rPr>
            </w:pPr>
            <w:r w:rsidRPr="00D40E65">
              <w:rPr>
                <w:rFonts w:ascii="Arial" w:hAnsi="Arial" w:cs="Arial"/>
                <w:sz w:val="22"/>
                <w:szCs w:val="22"/>
              </w:rPr>
              <w:t>Other Comments</w:t>
            </w:r>
          </w:p>
        </w:tc>
        <w:tc>
          <w:tcPr>
            <w:tcW w:w="3073" w:type="pct"/>
          </w:tcPr>
          <w:p w:rsidR="00A76ED1" w:rsidRPr="00D40E65" w:rsidRDefault="00ED0E87" w:rsidP="00364ED2">
            <w:pPr>
              <w:rPr>
                <w:rFonts w:ascii="Arial" w:hAnsi="Arial" w:cs="Arial"/>
                <w:sz w:val="22"/>
                <w:szCs w:val="22"/>
              </w:rPr>
            </w:pPr>
            <w:r>
              <w:rPr>
                <w:rFonts w:ascii="Arial" w:hAnsi="Arial" w:cs="Arial"/>
                <w:sz w:val="22"/>
                <w:szCs w:val="22"/>
              </w:rPr>
              <w:t>None</w:t>
            </w:r>
          </w:p>
        </w:tc>
      </w:tr>
    </w:tbl>
    <w:p w:rsidR="004C03F0" w:rsidRDefault="004C03F0" w:rsidP="00ED0E87">
      <w:pPr>
        <w:sectPr w:rsidR="004C03F0">
          <w:pgSz w:w="11906" w:h="16838"/>
          <w:pgMar w:top="1440" w:right="1800" w:bottom="1440" w:left="1800" w:header="708" w:footer="708" w:gutter="0"/>
          <w:cols w:space="708"/>
          <w:docGrid w:linePitch="360"/>
        </w:sectPr>
      </w:pPr>
    </w:p>
    <w:p w:rsidR="00EB61D4" w:rsidRPr="00ED0E87" w:rsidRDefault="008D51B0" w:rsidP="00026E8E">
      <w:pPr>
        <w:jc w:val="center"/>
      </w:pPr>
      <w:r w:rsidRPr="008D51B0">
        <w:rPr>
          <w:noProof/>
        </w:rPr>
        <w:lastRenderedPageBreak/>
        <w:drawing>
          <wp:inline distT="0" distB="0" distL="0" distR="0" wp14:anchorId="50FE6AD9" wp14:editId="4B55E205">
            <wp:extent cx="8541271" cy="657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4122" cy="6574444"/>
                    </a:xfrm>
                    <a:prstGeom prst="rect">
                      <a:avLst/>
                    </a:prstGeom>
                    <a:noFill/>
                    <a:ln>
                      <a:noFill/>
                    </a:ln>
                  </pic:spPr>
                </pic:pic>
              </a:graphicData>
            </a:graphic>
          </wp:inline>
        </w:drawing>
      </w:r>
    </w:p>
    <w:sectPr w:rsidR="00EB61D4" w:rsidRPr="00ED0E87" w:rsidSect="008D51B0">
      <w:pgSz w:w="16838" w:h="11906" w:orient="landscape"/>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FC" w:rsidRDefault="00351BFC">
      <w:r>
        <w:separator/>
      </w:r>
    </w:p>
  </w:endnote>
  <w:endnote w:type="continuationSeparator" w:id="0">
    <w:p w:rsidR="00351BFC" w:rsidRDefault="0035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FC" w:rsidRPr="00E13382" w:rsidRDefault="00351BFC" w:rsidP="007D5FE6">
    <w:pPr>
      <w:pStyle w:val="Footer"/>
      <w:jc w:val="center"/>
      <w:rPr>
        <w:rFonts w:ascii="Arial" w:hAnsi="Arial" w:cs="Arial"/>
        <w:sz w:val="20"/>
        <w:szCs w:val="20"/>
      </w:rPr>
    </w:pPr>
    <w:r w:rsidRPr="00E13382">
      <w:rPr>
        <w:rFonts w:ascii="Arial" w:hAnsi="Arial" w:cs="Arial"/>
        <w:sz w:val="20"/>
        <w:szCs w:val="20"/>
      </w:rPr>
      <w:t xml:space="preserve">- </w:t>
    </w:r>
    <w:r w:rsidRPr="00E13382">
      <w:rPr>
        <w:rFonts w:ascii="Arial" w:hAnsi="Arial" w:cs="Arial"/>
        <w:sz w:val="20"/>
        <w:szCs w:val="20"/>
      </w:rPr>
      <w:fldChar w:fldCharType="begin"/>
    </w:r>
    <w:r w:rsidRPr="00E13382">
      <w:rPr>
        <w:rFonts w:ascii="Arial" w:hAnsi="Arial" w:cs="Arial"/>
        <w:sz w:val="20"/>
        <w:szCs w:val="20"/>
      </w:rPr>
      <w:instrText xml:space="preserve"> PAGE </w:instrText>
    </w:r>
    <w:r w:rsidRPr="00E13382">
      <w:rPr>
        <w:rFonts w:ascii="Arial" w:hAnsi="Arial" w:cs="Arial"/>
        <w:sz w:val="20"/>
        <w:szCs w:val="20"/>
      </w:rPr>
      <w:fldChar w:fldCharType="separate"/>
    </w:r>
    <w:r w:rsidR="00F124AB">
      <w:rPr>
        <w:rFonts w:ascii="Arial" w:hAnsi="Arial" w:cs="Arial"/>
        <w:noProof/>
        <w:sz w:val="20"/>
        <w:szCs w:val="20"/>
      </w:rPr>
      <w:t>1</w:t>
    </w:r>
    <w:r w:rsidRPr="00E13382">
      <w:rPr>
        <w:rFonts w:ascii="Arial" w:hAnsi="Arial" w:cs="Arial"/>
        <w:sz w:val="20"/>
        <w:szCs w:val="20"/>
      </w:rPr>
      <w:fldChar w:fldCharType="end"/>
    </w:r>
    <w:r w:rsidRPr="00E13382">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FC" w:rsidRDefault="00351BFC">
      <w:r>
        <w:separator/>
      </w:r>
    </w:p>
  </w:footnote>
  <w:footnote w:type="continuationSeparator" w:id="0">
    <w:p w:rsidR="00351BFC" w:rsidRDefault="0035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6D2"/>
    <w:multiLevelType w:val="hybridMultilevel"/>
    <w:tmpl w:val="05922336"/>
    <w:lvl w:ilvl="0" w:tplc="429260D8">
      <w:start w:val="1"/>
      <w:numFmt w:val="bullet"/>
      <w:lvlText w:val=""/>
      <w:lvlJc w:val="left"/>
      <w:pPr>
        <w:tabs>
          <w:tab w:val="num" w:pos="284"/>
        </w:tabs>
        <w:ind w:left="0" w:firstLine="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12B5952"/>
    <w:multiLevelType w:val="hybridMultilevel"/>
    <w:tmpl w:val="EB0A9DF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E06BE"/>
    <w:multiLevelType w:val="hybridMultilevel"/>
    <w:tmpl w:val="A204F8E0"/>
    <w:lvl w:ilvl="0" w:tplc="2AE2808E">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8356B17"/>
    <w:multiLevelType w:val="hybridMultilevel"/>
    <w:tmpl w:val="3E1628D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04B30"/>
    <w:multiLevelType w:val="multilevel"/>
    <w:tmpl w:val="D628598E"/>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6177D70"/>
    <w:multiLevelType w:val="hybridMultilevel"/>
    <w:tmpl w:val="2456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27F2C"/>
    <w:multiLevelType w:val="hybridMultilevel"/>
    <w:tmpl w:val="317CD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DC0CBE"/>
    <w:multiLevelType w:val="hybridMultilevel"/>
    <w:tmpl w:val="F2CE80D8"/>
    <w:lvl w:ilvl="0" w:tplc="429260D8">
      <w:start w:val="1"/>
      <w:numFmt w:val="bullet"/>
      <w:lvlText w:val=""/>
      <w:lvlJc w:val="left"/>
      <w:pPr>
        <w:tabs>
          <w:tab w:val="num" w:pos="1004"/>
        </w:tabs>
        <w:ind w:left="72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970FD7"/>
    <w:multiLevelType w:val="multilevel"/>
    <w:tmpl w:val="24706A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79E63EF"/>
    <w:multiLevelType w:val="hybridMultilevel"/>
    <w:tmpl w:val="31E6CB6C"/>
    <w:lvl w:ilvl="0" w:tplc="429260D8">
      <w:start w:val="1"/>
      <w:numFmt w:val="bullet"/>
      <w:lvlText w:val=""/>
      <w:lvlJc w:val="left"/>
      <w:pPr>
        <w:tabs>
          <w:tab w:val="num" w:pos="1004"/>
        </w:tabs>
        <w:ind w:left="720" w:firstLine="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4B0243ED"/>
    <w:multiLevelType w:val="multilevel"/>
    <w:tmpl w:val="8FDC8022"/>
    <w:lvl w:ilvl="0">
      <w:start w:val="1"/>
      <w:numFmt w:val="bullet"/>
      <w:lvlText w:val=""/>
      <w:lvlJc w:val="left"/>
      <w:pPr>
        <w:tabs>
          <w:tab w:val="num" w:pos="1080"/>
        </w:tabs>
        <w:ind w:left="72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1F6123"/>
    <w:multiLevelType w:val="hybridMultilevel"/>
    <w:tmpl w:val="AEC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D77D35"/>
    <w:multiLevelType w:val="hybridMultilevel"/>
    <w:tmpl w:val="D6E2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6421C9"/>
    <w:multiLevelType w:val="hybridMultilevel"/>
    <w:tmpl w:val="8FDC8022"/>
    <w:lvl w:ilvl="0" w:tplc="93DC03A2">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7470FC"/>
    <w:multiLevelType w:val="hybridMultilevel"/>
    <w:tmpl w:val="7AF0EB8C"/>
    <w:lvl w:ilvl="0" w:tplc="93DC03A2">
      <w:start w:val="1"/>
      <w:numFmt w:val="bullet"/>
      <w:lvlText w:val=""/>
      <w:lvlJc w:val="left"/>
      <w:pPr>
        <w:tabs>
          <w:tab w:val="num" w:pos="720"/>
        </w:tabs>
        <w:ind w:left="360" w:firstLine="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8"/>
  </w:num>
  <w:num w:numId="4">
    <w:abstractNumId w:val="4"/>
  </w:num>
  <w:num w:numId="5">
    <w:abstractNumId w:val="4"/>
  </w:num>
  <w:num w:numId="6">
    <w:abstractNumId w:val="4"/>
  </w:num>
  <w:num w:numId="7">
    <w:abstractNumId w:val="4"/>
  </w:num>
  <w:num w:numId="8">
    <w:abstractNumId w:val="9"/>
  </w:num>
  <w:num w:numId="9">
    <w:abstractNumId w:val="2"/>
  </w:num>
  <w:num w:numId="10">
    <w:abstractNumId w:val="3"/>
  </w:num>
  <w:num w:numId="11">
    <w:abstractNumId w:val="14"/>
  </w:num>
  <w:num w:numId="12">
    <w:abstractNumId w:val="13"/>
  </w:num>
  <w:num w:numId="13">
    <w:abstractNumId w:val="10"/>
  </w:num>
  <w:num w:numId="14">
    <w:abstractNumId w:val="7"/>
  </w:num>
  <w:num w:numId="15">
    <w:abstractNumId w:val="0"/>
  </w:num>
  <w:num w:numId="16">
    <w:abstractNumId w:val="1"/>
  </w:num>
  <w:num w:numId="17">
    <w:abstractNumId w:val="12"/>
  </w:num>
  <w:num w:numId="18">
    <w:abstractNumId w:val="5"/>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12"/>
    <w:rsid w:val="00013857"/>
    <w:rsid w:val="00023890"/>
    <w:rsid w:val="00026E8E"/>
    <w:rsid w:val="000273BE"/>
    <w:rsid w:val="00033680"/>
    <w:rsid w:val="00034D22"/>
    <w:rsid w:val="00037019"/>
    <w:rsid w:val="0004049E"/>
    <w:rsid w:val="0004591D"/>
    <w:rsid w:val="00053253"/>
    <w:rsid w:val="00053F08"/>
    <w:rsid w:val="000543B4"/>
    <w:rsid w:val="000559CC"/>
    <w:rsid w:val="0005601C"/>
    <w:rsid w:val="000605D5"/>
    <w:rsid w:val="00060B66"/>
    <w:rsid w:val="000624C9"/>
    <w:rsid w:val="00063F7D"/>
    <w:rsid w:val="00073C1A"/>
    <w:rsid w:val="000970B0"/>
    <w:rsid w:val="000A7F75"/>
    <w:rsid w:val="000B1676"/>
    <w:rsid w:val="000C1AFF"/>
    <w:rsid w:val="000C729B"/>
    <w:rsid w:val="000D27C9"/>
    <w:rsid w:val="000D5A08"/>
    <w:rsid w:val="000E46D2"/>
    <w:rsid w:val="000E5168"/>
    <w:rsid w:val="000E6FCA"/>
    <w:rsid w:val="000F04B0"/>
    <w:rsid w:val="00102EA7"/>
    <w:rsid w:val="001154C0"/>
    <w:rsid w:val="00121B3F"/>
    <w:rsid w:val="001224CE"/>
    <w:rsid w:val="0012298F"/>
    <w:rsid w:val="00123360"/>
    <w:rsid w:val="00127E8F"/>
    <w:rsid w:val="001347CE"/>
    <w:rsid w:val="00144BDD"/>
    <w:rsid w:val="001575F2"/>
    <w:rsid w:val="00162868"/>
    <w:rsid w:val="00176F9C"/>
    <w:rsid w:val="001836B7"/>
    <w:rsid w:val="00187061"/>
    <w:rsid w:val="00193110"/>
    <w:rsid w:val="001A23D2"/>
    <w:rsid w:val="001A7CC8"/>
    <w:rsid w:val="001B4601"/>
    <w:rsid w:val="001C03C9"/>
    <w:rsid w:val="001C477B"/>
    <w:rsid w:val="001C5876"/>
    <w:rsid w:val="001C7F6E"/>
    <w:rsid w:val="001D102A"/>
    <w:rsid w:val="001D202C"/>
    <w:rsid w:val="001D5A71"/>
    <w:rsid w:val="001E1DAE"/>
    <w:rsid w:val="001E5716"/>
    <w:rsid w:val="001E5F18"/>
    <w:rsid w:val="001E7D97"/>
    <w:rsid w:val="00200863"/>
    <w:rsid w:val="00201FC0"/>
    <w:rsid w:val="00205E12"/>
    <w:rsid w:val="00211F9E"/>
    <w:rsid w:val="002366CD"/>
    <w:rsid w:val="002401DA"/>
    <w:rsid w:val="00243CBC"/>
    <w:rsid w:val="00243FC6"/>
    <w:rsid w:val="00247DCE"/>
    <w:rsid w:val="00263F68"/>
    <w:rsid w:val="00280DA5"/>
    <w:rsid w:val="002957D1"/>
    <w:rsid w:val="002A46BF"/>
    <w:rsid w:val="002A7797"/>
    <w:rsid w:val="002B691B"/>
    <w:rsid w:val="002B722D"/>
    <w:rsid w:val="002B7CE7"/>
    <w:rsid w:val="002B7EF2"/>
    <w:rsid w:val="002C301B"/>
    <w:rsid w:val="002C3DC2"/>
    <w:rsid w:val="002D59B9"/>
    <w:rsid w:val="002E01E4"/>
    <w:rsid w:val="002E1EFC"/>
    <w:rsid w:val="002F40FB"/>
    <w:rsid w:val="002F5CA5"/>
    <w:rsid w:val="00302441"/>
    <w:rsid w:val="0030304E"/>
    <w:rsid w:val="00303212"/>
    <w:rsid w:val="00310CF3"/>
    <w:rsid w:val="00315250"/>
    <w:rsid w:val="0032001D"/>
    <w:rsid w:val="0032281A"/>
    <w:rsid w:val="00323F20"/>
    <w:rsid w:val="00324075"/>
    <w:rsid w:val="00324CE9"/>
    <w:rsid w:val="0033094D"/>
    <w:rsid w:val="00331DDB"/>
    <w:rsid w:val="00336114"/>
    <w:rsid w:val="003464D9"/>
    <w:rsid w:val="00351997"/>
    <w:rsid w:val="00351BFC"/>
    <w:rsid w:val="0035394D"/>
    <w:rsid w:val="0036169B"/>
    <w:rsid w:val="00362B25"/>
    <w:rsid w:val="003630A5"/>
    <w:rsid w:val="00364ED2"/>
    <w:rsid w:val="00370343"/>
    <w:rsid w:val="00376191"/>
    <w:rsid w:val="0037754E"/>
    <w:rsid w:val="00384F75"/>
    <w:rsid w:val="0038565C"/>
    <w:rsid w:val="0038634F"/>
    <w:rsid w:val="00393FF4"/>
    <w:rsid w:val="00396295"/>
    <w:rsid w:val="00396498"/>
    <w:rsid w:val="003B1CE5"/>
    <w:rsid w:val="003D141B"/>
    <w:rsid w:val="003D3D88"/>
    <w:rsid w:val="003D6CE4"/>
    <w:rsid w:val="004040A0"/>
    <w:rsid w:val="004051A6"/>
    <w:rsid w:val="0040544F"/>
    <w:rsid w:val="00411DCC"/>
    <w:rsid w:val="00412CA3"/>
    <w:rsid w:val="004145F1"/>
    <w:rsid w:val="00423B30"/>
    <w:rsid w:val="004339AB"/>
    <w:rsid w:val="00434B05"/>
    <w:rsid w:val="00434DDF"/>
    <w:rsid w:val="0044551C"/>
    <w:rsid w:val="00445A49"/>
    <w:rsid w:val="00451A5D"/>
    <w:rsid w:val="00454967"/>
    <w:rsid w:val="00461783"/>
    <w:rsid w:val="00462285"/>
    <w:rsid w:val="00470984"/>
    <w:rsid w:val="0047184D"/>
    <w:rsid w:val="004747CF"/>
    <w:rsid w:val="00483225"/>
    <w:rsid w:val="00483B37"/>
    <w:rsid w:val="0048543A"/>
    <w:rsid w:val="004856C1"/>
    <w:rsid w:val="00485E8D"/>
    <w:rsid w:val="00486A73"/>
    <w:rsid w:val="004873FD"/>
    <w:rsid w:val="00491DEA"/>
    <w:rsid w:val="004A474C"/>
    <w:rsid w:val="004A7F91"/>
    <w:rsid w:val="004B2351"/>
    <w:rsid w:val="004B37B4"/>
    <w:rsid w:val="004B3A3D"/>
    <w:rsid w:val="004C03F0"/>
    <w:rsid w:val="004C20B0"/>
    <w:rsid w:val="004C73A9"/>
    <w:rsid w:val="004C7F15"/>
    <w:rsid w:val="004D2130"/>
    <w:rsid w:val="004E1825"/>
    <w:rsid w:val="004E1F9A"/>
    <w:rsid w:val="004F32B6"/>
    <w:rsid w:val="004F7296"/>
    <w:rsid w:val="00502849"/>
    <w:rsid w:val="0050378D"/>
    <w:rsid w:val="00512F3F"/>
    <w:rsid w:val="00522719"/>
    <w:rsid w:val="00524B9A"/>
    <w:rsid w:val="005270E1"/>
    <w:rsid w:val="00537BD9"/>
    <w:rsid w:val="00544BFE"/>
    <w:rsid w:val="00547C71"/>
    <w:rsid w:val="005519DB"/>
    <w:rsid w:val="00552960"/>
    <w:rsid w:val="00561C81"/>
    <w:rsid w:val="005655C0"/>
    <w:rsid w:val="00571D1C"/>
    <w:rsid w:val="00592A4A"/>
    <w:rsid w:val="005A54E1"/>
    <w:rsid w:val="005A619A"/>
    <w:rsid w:val="005A6A0C"/>
    <w:rsid w:val="005B12B2"/>
    <w:rsid w:val="005B3D79"/>
    <w:rsid w:val="005C35E8"/>
    <w:rsid w:val="005D1C04"/>
    <w:rsid w:val="005E23E9"/>
    <w:rsid w:val="005E48DD"/>
    <w:rsid w:val="005F0694"/>
    <w:rsid w:val="005F1384"/>
    <w:rsid w:val="005F3AC3"/>
    <w:rsid w:val="005F5138"/>
    <w:rsid w:val="00603010"/>
    <w:rsid w:val="00604B41"/>
    <w:rsid w:val="00605DDB"/>
    <w:rsid w:val="006133C9"/>
    <w:rsid w:val="00615E3D"/>
    <w:rsid w:val="006266BB"/>
    <w:rsid w:val="00626F44"/>
    <w:rsid w:val="006271E3"/>
    <w:rsid w:val="00632771"/>
    <w:rsid w:val="0064375A"/>
    <w:rsid w:val="00645EF5"/>
    <w:rsid w:val="00647674"/>
    <w:rsid w:val="006519C3"/>
    <w:rsid w:val="00651C94"/>
    <w:rsid w:val="00651F01"/>
    <w:rsid w:val="00655970"/>
    <w:rsid w:val="00656499"/>
    <w:rsid w:val="00656CD8"/>
    <w:rsid w:val="00667112"/>
    <w:rsid w:val="00672521"/>
    <w:rsid w:val="00681405"/>
    <w:rsid w:val="00684942"/>
    <w:rsid w:val="00691A96"/>
    <w:rsid w:val="00691DB0"/>
    <w:rsid w:val="006961AC"/>
    <w:rsid w:val="006A0ECA"/>
    <w:rsid w:val="006A2718"/>
    <w:rsid w:val="006A6D8B"/>
    <w:rsid w:val="006B0691"/>
    <w:rsid w:val="006C6A4F"/>
    <w:rsid w:val="006D66B4"/>
    <w:rsid w:val="006E76CD"/>
    <w:rsid w:val="00707D61"/>
    <w:rsid w:val="00713972"/>
    <w:rsid w:val="00714655"/>
    <w:rsid w:val="00717390"/>
    <w:rsid w:val="00736D3F"/>
    <w:rsid w:val="00752A87"/>
    <w:rsid w:val="00753200"/>
    <w:rsid w:val="00764E93"/>
    <w:rsid w:val="00772F7A"/>
    <w:rsid w:val="00783080"/>
    <w:rsid w:val="00786C48"/>
    <w:rsid w:val="00786D69"/>
    <w:rsid w:val="00786F01"/>
    <w:rsid w:val="00796562"/>
    <w:rsid w:val="0079758C"/>
    <w:rsid w:val="007A1B78"/>
    <w:rsid w:val="007A4B32"/>
    <w:rsid w:val="007A607D"/>
    <w:rsid w:val="007B4430"/>
    <w:rsid w:val="007C5E56"/>
    <w:rsid w:val="007D294F"/>
    <w:rsid w:val="007D5FE6"/>
    <w:rsid w:val="007E2336"/>
    <w:rsid w:val="007E5F0E"/>
    <w:rsid w:val="007E76EB"/>
    <w:rsid w:val="007F3E5F"/>
    <w:rsid w:val="007F4774"/>
    <w:rsid w:val="007F65E5"/>
    <w:rsid w:val="00806281"/>
    <w:rsid w:val="008224AC"/>
    <w:rsid w:val="0082280B"/>
    <w:rsid w:val="0082551C"/>
    <w:rsid w:val="00840C7E"/>
    <w:rsid w:val="0084231E"/>
    <w:rsid w:val="00844A89"/>
    <w:rsid w:val="0084519D"/>
    <w:rsid w:val="0085177D"/>
    <w:rsid w:val="00853B90"/>
    <w:rsid w:val="008618EF"/>
    <w:rsid w:val="00863A0F"/>
    <w:rsid w:val="00864559"/>
    <w:rsid w:val="00871001"/>
    <w:rsid w:val="00875D79"/>
    <w:rsid w:val="00876453"/>
    <w:rsid w:val="00883855"/>
    <w:rsid w:val="0089238D"/>
    <w:rsid w:val="0089684F"/>
    <w:rsid w:val="008A2759"/>
    <w:rsid w:val="008A436B"/>
    <w:rsid w:val="008A5952"/>
    <w:rsid w:val="008B0215"/>
    <w:rsid w:val="008B178A"/>
    <w:rsid w:val="008B74E7"/>
    <w:rsid w:val="008C3783"/>
    <w:rsid w:val="008C4B18"/>
    <w:rsid w:val="008C79A6"/>
    <w:rsid w:val="008D23B9"/>
    <w:rsid w:val="008D51B0"/>
    <w:rsid w:val="008E1BB0"/>
    <w:rsid w:val="008E450F"/>
    <w:rsid w:val="008E53C9"/>
    <w:rsid w:val="009074DB"/>
    <w:rsid w:val="009113CF"/>
    <w:rsid w:val="00913286"/>
    <w:rsid w:val="009167DC"/>
    <w:rsid w:val="009228B9"/>
    <w:rsid w:val="00935F59"/>
    <w:rsid w:val="00936AD5"/>
    <w:rsid w:val="00940BCB"/>
    <w:rsid w:val="00961512"/>
    <w:rsid w:val="00983B40"/>
    <w:rsid w:val="00985DCC"/>
    <w:rsid w:val="00990800"/>
    <w:rsid w:val="0099378B"/>
    <w:rsid w:val="00993EC3"/>
    <w:rsid w:val="00994785"/>
    <w:rsid w:val="009A2606"/>
    <w:rsid w:val="009B0C28"/>
    <w:rsid w:val="009B505C"/>
    <w:rsid w:val="009B6361"/>
    <w:rsid w:val="009C40D5"/>
    <w:rsid w:val="009D0D8F"/>
    <w:rsid w:val="009D29F4"/>
    <w:rsid w:val="009E04B6"/>
    <w:rsid w:val="009E2BFA"/>
    <w:rsid w:val="009E5460"/>
    <w:rsid w:val="009F16C4"/>
    <w:rsid w:val="009F7290"/>
    <w:rsid w:val="00A01AF7"/>
    <w:rsid w:val="00A056B1"/>
    <w:rsid w:val="00A11414"/>
    <w:rsid w:val="00A11E0E"/>
    <w:rsid w:val="00A1247E"/>
    <w:rsid w:val="00A13386"/>
    <w:rsid w:val="00A144D1"/>
    <w:rsid w:val="00A27CFE"/>
    <w:rsid w:val="00A30FB5"/>
    <w:rsid w:val="00A31A4E"/>
    <w:rsid w:val="00A5009D"/>
    <w:rsid w:val="00A64A8D"/>
    <w:rsid w:val="00A7392B"/>
    <w:rsid w:val="00A76ED1"/>
    <w:rsid w:val="00A82B2E"/>
    <w:rsid w:val="00A85AB5"/>
    <w:rsid w:val="00A90758"/>
    <w:rsid w:val="00A914C1"/>
    <w:rsid w:val="00A91F13"/>
    <w:rsid w:val="00A946AD"/>
    <w:rsid w:val="00A951E7"/>
    <w:rsid w:val="00A967DE"/>
    <w:rsid w:val="00A96DAE"/>
    <w:rsid w:val="00AB026E"/>
    <w:rsid w:val="00AB2FF3"/>
    <w:rsid w:val="00AC0518"/>
    <w:rsid w:val="00AC4A75"/>
    <w:rsid w:val="00AE6196"/>
    <w:rsid w:val="00AE771C"/>
    <w:rsid w:val="00AE7E03"/>
    <w:rsid w:val="00AF12A3"/>
    <w:rsid w:val="00AF4C38"/>
    <w:rsid w:val="00B03D5C"/>
    <w:rsid w:val="00B046A1"/>
    <w:rsid w:val="00B05493"/>
    <w:rsid w:val="00B11EAF"/>
    <w:rsid w:val="00B1275F"/>
    <w:rsid w:val="00B2156A"/>
    <w:rsid w:val="00B27C3F"/>
    <w:rsid w:val="00B352FC"/>
    <w:rsid w:val="00B415F2"/>
    <w:rsid w:val="00B42EFF"/>
    <w:rsid w:val="00B75FD6"/>
    <w:rsid w:val="00B7613F"/>
    <w:rsid w:val="00B76890"/>
    <w:rsid w:val="00B768D9"/>
    <w:rsid w:val="00B81250"/>
    <w:rsid w:val="00B92F9E"/>
    <w:rsid w:val="00BA012E"/>
    <w:rsid w:val="00BA1F3F"/>
    <w:rsid w:val="00BA28C1"/>
    <w:rsid w:val="00BA2B40"/>
    <w:rsid w:val="00BA2FD0"/>
    <w:rsid w:val="00BA7AD7"/>
    <w:rsid w:val="00BB29F2"/>
    <w:rsid w:val="00BB3A75"/>
    <w:rsid w:val="00BB6BF9"/>
    <w:rsid w:val="00BC2093"/>
    <w:rsid w:val="00BD0836"/>
    <w:rsid w:val="00BD08B8"/>
    <w:rsid w:val="00BD3770"/>
    <w:rsid w:val="00BD43CF"/>
    <w:rsid w:val="00BE17C4"/>
    <w:rsid w:val="00BE19DE"/>
    <w:rsid w:val="00BE5AC3"/>
    <w:rsid w:val="00BF0FB6"/>
    <w:rsid w:val="00BF5404"/>
    <w:rsid w:val="00BF7A2D"/>
    <w:rsid w:val="00C02711"/>
    <w:rsid w:val="00C1264C"/>
    <w:rsid w:val="00C13FCF"/>
    <w:rsid w:val="00C14C46"/>
    <w:rsid w:val="00C160F4"/>
    <w:rsid w:val="00C2774D"/>
    <w:rsid w:val="00C4649D"/>
    <w:rsid w:val="00C61D99"/>
    <w:rsid w:val="00C70AF8"/>
    <w:rsid w:val="00C71928"/>
    <w:rsid w:val="00C919FE"/>
    <w:rsid w:val="00C91E7E"/>
    <w:rsid w:val="00C93B09"/>
    <w:rsid w:val="00C95E6B"/>
    <w:rsid w:val="00CA06BF"/>
    <w:rsid w:val="00CA072A"/>
    <w:rsid w:val="00CA3413"/>
    <w:rsid w:val="00CB1C32"/>
    <w:rsid w:val="00CB793C"/>
    <w:rsid w:val="00CC121A"/>
    <w:rsid w:val="00CC20EE"/>
    <w:rsid w:val="00CC59E8"/>
    <w:rsid w:val="00CC60D4"/>
    <w:rsid w:val="00CD234B"/>
    <w:rsid w:val="00CD7056"/>
    <w:rsid w:val="00CE0319"/>
    <w:rsid w:val="00CE2C5B"/>
    <w:rsid w:val="00CE35A5"/>
    <w:rsid w:val="00CE3853"/>
    <w:rsid w:val="00CF1FF7"/>
    <w:rsid w:val="00CF4EA7"/>
    <w:rsid w:val="00D10B74"/>
    <w:rsid w:val="00D1119E"/>
    <w:rsid w:val="00D14CCE"/>
    <w:rsid w:val="00D32641"/>
    <w:rsid w:val="00D32830"/>
    <w:rsid w:val="00D3434B"/>
    <w:rsid w:val="00D35EBF"/>
    <w:rsid w:val="00D375BC"/>
    <w:rsid w:val="00D40B14"/>
    <w:rsid w:val="00D40E65"/>
    <w:rsid w:val="00D45DAD"/>
    <w:rsid w:val="00D565C1"/>
    <w:rsid w:val="00D57289"/>
    <w:rsid w:val="00D629E7"/>
    <w:rsid w:val="00D64433"/>
    <w:rsid w:val="00D6506C"/>
    <w:rsid w:val="00D66C98"/>
    <w:rsid w:val="00D70B86"/>
    <w:rsid w:val="00D75C1B"/>
    <w:rsid w:val="00D82FF7"/>
    <w:rsid w:val="00DA0852"/>
    <w:rsid w:val="00DA6A8B"/>
    <w:rsid w:val="00DA7A65"/>
    <w:rsid w:val="00DB12EC"/>
    <w:rsid w:val="00DB6723"/>
    <w:rsid w:val="00DB7850"/>
    <w:rsid w:val="00DC6A39"/>
    <w:rsid w:val="00DC74D8"/>
    <w:rsid w:val="00DD2276"/>
    <w:rsid w:val="00DF2E7B"/>
    <w:rsid w:val="00E0034E"/>
    <w:rsid w:val="00E05D00"/>
    <w:rsid w:val="00E065E2"/>
    <w:rsid w:val="00E13382"/>
    <w:rsid w:val="00E17D8A"/>
    <w:rsid w:val="00E20C9F"/>
    <w:rsid w:val="00E21DE7"/>
    <w:rsid w:val="00E323D4"/>
    <w:rsid w:val="00E33CFC"/>
    <w:rsid w:val="00E37F1F"/>
    <w:rsid w:val="00E40913"/>
    <w:rsid w:val="00E60A89"/>
    <w:rsid w:val="00E71825"/>
    <w:rsid w:val="00E83E7E"/>
    <w:rsid w:val="00E86F00"/>
    <w:rsid w:val="00E87A57"/>
    <w:rsid w:val="00EA1E06"/>
    <w:rsid w:val="00EA2270"/>
    <w:rsid w:val="00EA22DF"/>
    <w:rsid w:val="00EA2D8D"/>
    <w:rsid w:val="00EA30AC"/>
    <w:rsid w:val="00EA7F17"/>
    <w:rsid w:val="00EB20BA"/>
    <w:rsid w:val="00EB61D4"/>
    <w:rsid w:val="00EC3EF9"/>
    <w:rsid w:val="00EC5765"/>
    <w:rsid w:val="00ED0E87"/>
    <w:rsid w:val="00ED1C63"/>
    <w:rsid w:val="00ED2BC8"/>
    <w:rsid w:val="00ED3155"/>
    <w:rsid w:val="00ED70C3"/>
    <w:rsid w:val="00ED721F"/>
    <w:rsid w:val="00ED7E30"/>
    <w:rsid w:val="00EE334E"/>
    <w:rsid w:val="00EE4608"/>
    <w:rsid w:val="00EE68EC"/>
    <w:rsid w:val="00EF33CD"/>
    <w:rsid w:val="00EF6EB6"/>
    <w:rsid w:val="00EF743F"/>
    <w:rsid w:val="00F03A3D"/>
    <w:rsid w:val="00F03EE5"/>
    <w:rsid w:val="00F124AB"/>
    <w:rsid w:val="00F12A87"/>
    <w:rsid w:val="00F12F7C"/>
    <w:rsid w:val="00F165A6"/>
    <w:rsid w:val="00F21B61"/>
    <w:rsid w:val="00F3314F"/>
    <w:rsid w:val="00F45978"/>
    <w:rsid w:val="00F5276D"/>
    <w:rsid w:val="00F62CB2"/>
    <w:rsid w:val="00F66E82"/>
    <w:rsid w:val="00F66F1E"/>
    <w:rsid w:val="00F70A36"/>
    <w:rsid w:val="00F75D6D"/>
    <w:rsid w:val="00F77E02"/>
    <w:rsid w:val="00F8283F"/>
    <w:rsid w:val="00F84EAC"/>
    <w:rsid w:val="00F909C0"/>
    <w:rsid w:val="00F951AA"/>
    <w:rsid w:val="00FA4922"/>
    <w:rsid w:val="00FA4AC8"/>
    <w:rsid w:val="00FB349C"/>
    <w:rsid w:val="00FB4A0E"/>
    <w:rsid w:val="00FD10A3"/>
    <w:rsid w:val="00FD2585"/>
    <w:rsid w:val="00FD3DE6"/>
    <w:rsid w:val="00FD4D2C"/>
    <w:rsid w:val="00FE245F"/>
    <w:rsid w:val="00FE77F3"/>
    <w:rsid w:val="00FE7B60"/>
    <w:rsid w:val="00FF1C98"/>
    <w:rsid w:val="00FF4665"/>
    <w:rsid w:val="00FF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C3"/>
    <w:rPr>
      <w:sz w:val="24"/>
      <w:szCs w:val="24"/>
    </w:rPr>
  </w:style>
  <w:style w:type="paragraph" w:styleId="Heading1">
    <w:name w:val="heading 1"/>
    <w:basedOn w:val="Normal"/>
    <w:next w:val="Normal"/>
    <w:link w:val="Heading1Char"/>
    <w:qFormat/>
    <w:rsid w:val="00E05D00"/>
    <w:pPr>
      <w:keepNext/>
      <w:spacing w:before="240" w:after="60" w:line="360" w:lineRule="auto"/>
      <w:jc w:val="both"/>
      <w:outlineLvl w:val="0"/>
    </w:pPr>
    <w:rPr>
      <w:rFonts w:ascii="Arial" w:hAnsi="Arial" w:cs="Arial"/>
      <w:b/>
      <w:bCs/>
      <w:kern w:val="32"/>
      <w:sz w:val="28"/>
      <w:szCs w:val="32"/>
      <w:lang w:eastAsia="en-US"/>
    </w:rPr>
  </w:style>
  <w:style w:type="paragraph" w:styleId="Heading2">
    <w:name w:val="heading 2"/>
    <w:basedOn w:val="Normal"/>
    <w:next w:val="Normal"/>
    <w:link w:val="Heading2Char"/>
    <w:qFormat/>
    <w:rsid w:val="00913286"/>
    <w:pPr>
      <w:keepNext/>
      <w:numPr>
        <w:ilvl w:val="1"/>
        <w:numId w:val="7"/>
      </w:numPr>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WebArial">
    <w:name w:val="Style Normal (Web) + Arial"/>
    <w:basedOn w:val="NormalWeb"/>
    <w:rsid w:val="00205E12"/>
    <w:pPr>
      <w:spacing w:before="100" w:beforeAutospacing="1" w:after="100" w:afterAutospacing="1"/>
    </w:pPr>
    <w:rPr>
      <w:rFonts w:ascii="Arial" w:hAnsi="Arial"/>
      <w:lang w:eastAsia="en-US"/>
    </w:rPr>
  </w:style>
  <w:style w:type="paragraph" w:styleId="NormalWeb">
    <w:name w:val="Normal (Web)"/>
    <w:basedOn w:val="Normal"/>
    <w:rsid w:val="00205E12"/>
  </w:style>
  <w:style w:type="paragraph" w:customStyle="1" w:styleId="StyleHeading1Outline1Arial16ptBoldLeftLeft0cmF">
    <w:name w:val="Style Heading 1Outline1 + Arial 16 pt Bold Left Left:  0 cm F..."/>
    <w:basedOn w:val="Heading1"/>
    <w:rsid w:val="0004591D"/>
    <w:pPr>
      <w:keepNext w:val="0"/>
      <w:tabs>
        <w:tab w:val="left" w:pos="720"/>
        <w:tab w:val="left" w:pos="1440"/>
        <w:tab w:val="left" w:pos="2160"/>
        <w:tab w:val="left" w:pos="2880"/>
        <w:tab w:val="left" w:pos="4680"/>
        <w:tab w:val="left" w:pos="5400"/>
        <w:tab w:val="right" w:pos="9000"/>
      </w:tabs>
    </w:pPr>
    <w:rPr>
      <w:bCs w:val="0"/>
      <w:szCs w:val="20"/>
    </w:rPr>
  </w:style>
  <w:style w:type="paragraph" w:customStyle="1" w:styleId="StyleLeft-05cm">
    <w:name w:val="Style Left:  -0.5 cm"/>
    <w:basedOn w:val="Normal"/>
    <w:rsid w:val="00434B05"/>
    <w:pPr>
      <w:ind w:left="-284"/>
    </w:pPr>
    <w:rPr>
      <w:rFonts w:ascii="Arial" w:hAnsi="Arial"/>
      <w:sz w:val="22"/>
      <w:szCs w:val="20"/>
      <w:lang w:eastAsia="en-US"/>
    </w:rPr>
  </w:style>
  <w:style w:type="paragraph" w:styleId="Header">
    <w:name w:val="header"/>
    <w:basedOn w:val="Normal"/>
    <w:link w:val="HeaderChar"/>
    <w:rsid w:val="002B722D"/>
    <w:pPr>
      <w:tabs>
        <w:tab w:val="center" w:pos="4153"/>
        <w:tab w:val="right" w:pos="8306"/>
      </w:tabs>
    </w:pPr>
  </w:style>
  <w:style w:type="paragraph" w:styleId="Footer">
    <w:name w:val="footer"/>
    <w:basedOn w:val="Normal"/>
    <w:link w:val="FooterChar"/>
    <w:rsid w:val="002B722D"/>
    <w:pPr>
      <w:tabs>
        <w:tab w:val="center" w:pos="4153"/>
        <w:tab w:val="right" w:pos="8306"/>
      </w:tabs>
    </w:pPr>
  </w:style>
  <w:style w:type="paragraph" w:styleId="BalloonText">
    <w:name w:val="Balloon Text"/>
    <w:basedOn w:val="Normal"/>
    <w:link w:val="BalloonTextChar"/>
    <w:semiHidden/>
    <w:rsid w:val="00681405"/>
    <w:rPr>
      <w:rFonts w:ascii="Tahoma" w:hAnsi="Tahoma" w:cs="Tahoma"/>
      <w:sz w:val="16"/>
      <w:szCs w:val="16"/>
    </w:rPr>
  </w:style>
  <w:style w:type="paragraph" w:customStyle="1" w:styleId="CharChar2">
    <w:name w:val="Char Char2"/>
    <w:basedOn w:val="Normal"/>
    <w:rsid w:val="004C73A9"/>
    <w:pPr>
      <w:spacing w:after="160" w:line="240" w:lineRule="exact"/>
    </w:pPr>
    <w:rPr>
      <w:rFonts w:ascii="Tahoma" w:hAnsi="Tahoma"/>
      <w:sz w:val="20"/>
      <w:szCs w:val="20"/>
      <w:lang w:val="en-US" w:eastAsia="en-US"/>
    </w:rPr>
  </w:style>
  <w:style w:type="paragraph" w:customStyle="1" w:styleId="CharCharChar">
    <w:name w:val="Char Char Char"/>
    <w:basedOn w:val="Normal"/>
    <w:rsid w:val="00F5276D"/>
    <w:pPr>
      <w:spacing w:after="160" w:line="240" w:lineRule="exact"/>
    </w:pPr>
    <w:rPr>
      <w:rFonts w:ascii="Tahoma" w:hAnsi="Tahoma"/>
      <w:sz w:val="20"/>
      <w:szCs w:val="20"/>
      <w:lang w:val="en-US" w:eastAsia="en-US"/>
    </w:rPr>
  </w:style>
  <w:style w:type="table" w:styleId="TableGrid">
    <w:name w:val="Table Grid"/>
    <w:basedOn w:val="TableNormal"/>
    <w:uiPriority w:val="59"/>
    <w:rsid w:val="0087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D0E87"/>
    <w:rPr>
      <w:rFonts w:ascii="Arial" w:hAnsi="Arial" w:cs="Arial"/>
      <w:b/>
      <w:bCs/>
      <w:kern w:val="32"/>
      <w:sz w:val="28"/>
      <w:szCs w:val="32"/>
      <w:lang w:eastAsia="en-US"/>
    </w:rPr>
  </w:style>
  <w:style w:type="character" w:customStyle="1" w:styleId="Heading2Char">
    <w:name w:val="Heading 2 Char"/>
    <w:link w:val="Heading2"/>
    <w:rsid w:val="00ED0E87"/>
    <w:rPr>
      <w:rFonts w:ascii="Arial" w:hAnsi="Arial" w:cs="Arial"/>
      <w:b/>
      <w:bCs/>
      <w:i/>
      <w:iCs/>
      <w:sz w:val="28"/>
      <w:szCs w:val="28"/>
      <w:lang w:eastAsia="en-US"/>
    </w:rPr>
  </w:style>
  <w:style w:type="character" w:customStyle="1" w:styleId="HeaderChar">
    <w:name w:val="Header Char"/>
    <w:link w:val="Header"/>
    <w:rsid w:val="00ED0E87"/>
    <w:rPr>
      <w:sz w:val="24"/>
      <w:szCs w:val="24"/>
    </w:rPr>
  </w:style>
  <w:style w:type="character" w:customStyle="1" w:styleId="FooterChar">
    <w:name w:val="Footer Char"/>
    <w:link w:val="Footer"/>
    <w:rsid w:val="00ED0E87"/>
    <w:rPr>
      <w:sz w:val="24"/>
      <w:szCs w:val="24"/>
    </w:rPr>
  </w:style>
  <w:style w:type="character" w:customStyle="1" w:styleId="BalloonTextChar">
    <w:name w:val="Balloon Text Char"/>
    <w:link w:val="BalloonText"/>
    <w:semiHidden/>
    <w:rsid w:val="00ED0E87"/>
    <w:rPr>
      <w:rFonts w:ascii="Tahoma" w:hAnsi="Tahoma" w:cs="Tahoma"/>
      <w:sz w:val="16"/>
      <w:szCs w:val="16"/>
    </w:rPr>
  </w:style>
  <w:style w:type="character" w:styleId="CommentReference">
    <w:name w:val="annotation reference"/>
    <w:basedOn w:val="DefaultParagraphFont"/>
    <w:uiPriority w:val="99"/>
    <w:semiHidden/>
    <w:unhideWhenUsed/>
    <w:rsid w:val="00615E3D"/>
    <w:rPr>
      <w:sz w:val="16"/>
      <w:szCs w:val="16"/>
    </w:rPr>
  </w:style>
  <w:style w:type="paragraph" w:styleId="CommentText">
    <w:name w:val="annotation text"/>
    <w:basedOn w:val="Normal"/>
    <w:link w:val="CommentTextChar"/>
    <w:uiPriority w:val="99"/>
    <w:semiHidden/>
    <w:unhideWhenUsed/>
    <w:rsid w:val="00615E3D"/>
    <w:rPr>
      <w:sz w:val="20"/>
      <w:szCs w:val="20"/>
    </w:rPr>
  </w:style>
  <w:style w:type="character" w:customStyle="1" w:styleId="CommentTextChar">
    <w:name w:val="Comment Text Char"/>
    <w:basedOn w:val="DefaultParagraphFont"/>
    <w:link w:val="CommentText"/>
    <w:uiPriority w:val="99"/>
    <w:semiHidden/>
    <w:rsid w:val="00615E3D"/>
  </w:style>
  <w:style w:type="paragraph" w:styleId="CommentSubject">
    <w:name w:val="annotation subject"/>
    <w:basedOn w:val="CommentText"/>
    <w:next w:val="CommentText"/>
    <w:link w:val="CommentSubjectChar"/>
    <w:uiPriority w:val="99"/>
    <w:semiHidden/>
    <w:unhideWhenUsed/>
    <w:rsid w:val="00615E3D"/>
    <w:rPr>
      <w:b/>
      <w:bCs/>
    </w:rPr>
  </w:style>
  <w:style w:type="character" w:customStyle="1" w:styleId="CommentSubjectChar">
    <w:name w:val="Comment Subject Char"/>
    <w:basedOn w:val="CommentTextChar"/>
    <w:link w:val="CommentSubject"/>
    <w:uiPriority w:val="99"/>
    <w:semiHidden/>
    <w:rsid w:val="00615E3D"/>
    <w:rPr>
      <w:b/>
      <w:bCs/>
    </w:rPr>
  </w:style>
  <w:style w:type="paragraph" w:styleId="ListParagraph">
    <w:name w:val="List Paragraph"/>
    <w:basedOn w:val="Normal"/>
    <w:uiPriority w:val="34"/>
    <w:qFormat/>
    <w:rsid w:val="0064375A"/>
    <w:pPr>
      <w:ind w:left="720"/>
      <w:contextualSpacing/>
    </w:pPr>
  </w:style>
  <w:style w:type="paragraph" w:customStyle="1" w:styleId="CharCharChar0">
    <w:name w:val="Char Char Char"/>
    <w:basedOn w:val="Normal"/>
    <w:rsid w:val="000E46D2"/>
    <w:pPr>
      <w:spacing w:after="160" w:line="240" w:lineRule="exact"/>
    </w:pPr>
    <w:rPr>
      <w:rFonts w:ascii="Tahoma" w:hAnsi="Tahoma"/>
      <w:sz w:val="20"/>
      <w:szCs w:val="20"/>
      <w:lang w:val="en-US" w:eastAsia="en-US"/>
    </w:rPr>
  </w:style>
  <w:style w:type="paragraph" w:styleId="Revision">
    <w:name w:val="Revision"/>
    <w:hidden/>
    <w:uiPriority w:val="99"/>
    <w:semiHidden/>
    <w:rsid w:val="0085177D"/>
    <w:rPr>
      <w:sz w:val="24"/>
      <w:szCs w:val="24"/>
    </w:rPr>
  </w:style>
  <w:style w:type="paragraph" w:styleId="NoSpacing">
    <w:name w:val="No Spacing"/>
    <w:uiPriority w:val="1"/>
    <w:qFormat/>
    <w:rsid w:val="0031525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C3"/>
    <w:rPr>
      <w:sz w:val="24"/>
      <w:szCs w:val="24"/>
    </w:rPr>
  </w:style>
  <w:style w:type="paragraph" w:styleId="Heading1">
    <w:name w:val="heading 1"/>
    <w:basedOn w:val="Normal"/>
    <w:next w:val="Normal"/>
    <w:link w:val="Heading1Char"/>
    <w:qFormat/>
    <w:rsid w:val="00E05D00"/>
    <w:pPr>
      <w:keepNext/>
      <w:spacing w:before="240" w:after="60" w:line="360" w:lineRule="auto"/>
      <w:jc w:val="both"/>
      <w:outlineLvl w:val="0"/>
    </w:pPr>
    <w:rPr>
      <w:rFonts w:ascii="Arial" w:hAnsi="Arial" w:cs="Arial"/>
      <w:b/>
      <w:bCs/>
      <w:kern w:val="32"/>
      <w:sz w:val="28"/>
      <w:szCs w:val="32"/>
      <w:lang w:eastAsia="en-US"/>
    </w:rPr>
  </w:style>
  <w:style w:type="paragraph" w:styleId="Heading2">
    <w:name w:val="heading 2"/>
    <w:basedOn w:val="Normal"/>
    <w:next w:val="Normal"/>
    <w:link w:val="Heading2Char"/>
    <w:qFormat/>
    <w:rsid w:val="00913286"/>
    <w:pPr>
      <w:keepNext/>
      <w:numPr>
        <w:ilvl w:val="1"/>
        <w:numId w:val="7"/>
      </w:numPr>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WebArial">
    <w:name w:val="Style Normal (Web) + Arial"/>
    <w:basedOn w:val="NormalWeb"/>
    <w:rsid w:val="00205E12"/>
    <w:pPr>
      <w:spacing w:before="100" w:beforeAutospacing="1" w:after="100" w:afterAutospacing="1"/>
    </w:pPr>
    <w:rPr>
      <w:rFonts w:ascii="Arial" w:hAnsi="Arial"/>
      <w:lang w:eastAsia="en-US"/>
    </w:rPr>
  </w:style>
  <w:style w:type="paragraph" w:styleId="NormalWeb">
    <w:name w:val="Normal (Web)"/>
    <w:basedOn w:val="Normal"/>
    <w:rsid w:val="00205E12"/>
  </w:style>
  <w:style w:type="paragraph" w:customStyle="1" w:styleId="StyleHeading1Outline1Arial16ptBoldLeftLeft0cmF">
    <w:name w:val="Style Heading 1Outline1 + Arial 16 pt Bold Left Left:  0 cm F..."/>
    <w:basedOn w:val="Heading1"/>
    <w:rsid w:val="0004591D"/>
    <w:pPr>
      <w:keepNext w:val="0"/>
      <w:tabs>
        <w:tab w:val="left" w:pos="720"/>
        <w:tab w:val="left" w:pos="1440"/>
        <w:tab w:val="left" w:pos="2160"/>
        <w:tab w:val="left" w:pos="2880"/>
        <w:tab w:val="left" w:pos="4680"/>
        <w:tab w:val="left" w:pos="5400"/>
        <w:tab w:val="right" w:pos="9000"/>
      </w:tabs>
    </w:pPr>
    <w:rPr>
      <w:bCs w:val="0"/>
      <w:szCs w:val="20"/>
    </w:rPr>
  </w:style>
  <w:style w:type="paragraph" w:customStyle="1" w:styleId="StyleLeft-05cm">
    <w:name w:val="Style Left:  -0.5 cm"/>
    <w:basedOn w:val="Normal"/>
    <w:rsid w:val="00434B05"/>
    <w:pPr>
      <w:ind w:left="-284"/>
    </w:pPr>
    <w:rPr>
      <w:rFonts w:ascii="Arial" w:hAnsi="Arial"/>
      <w:sz w:val="22"/>
      <w:szCs w:val="20"/>
      <w:lang w:eastAsia="en-US"/>
    </w:rPr>
  </w:style>
  <w:style w:type="paragraph" w:styleId="Header">
    <w:name w:val="header"/>
    <w:basedOn w:val="Normal"/>
    <w:link w:val="HeaderChar"/>
    <w:rsid w:val="002B722D"/>
    <w:pPr>
      <w:tabs>
        <w:tab w:val="center" w:pos="4153"/>
        <w:tab w:val="right" w:pos="8306"/>
      </w:tabs>
    </w:pPr>
  </w:style>
  <w:style w:type="paragraph" w:styleId="Footer">
    <w:name w:val="footer"/>
    <w:basedOn w:val="Normal"/>
    <w:link w:val="FooterChar"/>
    <w:rsid w:val="002B722D"/>
    <w:pPr>
      <w:tabs>
        <w:tab w:val="center" w:pos="4153"/>
        <w:tab w:val="right" w:pos="8306"/>
      </w:tabs>
    </w:pPr>
  </w:style>
  <w:style w:type="paragraph" w:styleId="BalloonText">
    <w:name w:val="Balloon Text"/>
    <w:basedOn w:val="Normal"/>
    <w:link w:val="BalloonTextChar"/>
    <w:semiHidden/>
    <w:rsid w:val="00681405"/>
    <w:rPr>
      <w:rFonts w:ascii="Tahoma" w:hAnsi="Tahoma" w:cs="Tahoma"/>
      <w:sz w:val="16"/>
      <w:szCs w:val="16"/>
    </w:rPr>
  </w:style>
  <w:style w:type="paragraph" w:customStyle="1" w:styleId="CharChar2">
    <w:name w:val="Char Char2"/>
    <w:basedOn w:val="Normal"/>
    <w:rsid w:val="004C73A9"/>
    <w:pPr>
      <w:spacing w:after="160" w:line="240" w:lineRule="exact"/>
    </w:pPr>
    <w:rPr>
      <w:rFonts w:ascii="Tahoma" w:hAnsi="Tahoma"/>
      <w:sz w:val="20"/>
      <w:szCs w:val="20"/>
      <w:lang w:val="en-US" w:eastAsia="en-US"/>
    </w:rPr>
  </w:style>
  <w:style w:type="paragraph" w:customStyle="1" w:styleId="CharCharChar">
    <w:name w:val="Char Char Char"/>
    <w:basedOn w:val="Normal"/>
    <w:rsid w:val="00F5276D"/>
    <w:pPr>
      <w:spacing w:after="160" w:line="240" w:lineRule="exact"/>
    </w:pPr>
    <w:rPr>
      <w:rFonts w:ascii="Tahoma" w:hAnsi="Tahoma"/>
      <w:sz w:val="20"/>
      <w:szCs w:val="20"/>
      <w:lang w:val="en-US" w:eastAsia="en-US"/>
    </w:rPr>
  </w:style>
  <w:style w:type="table" w:styleId="TableGrid">
    <w:name w:val="Table Grid"/>
    <w:basedOn w:val="TableNormal"/>
    <w:uiPriority w:val="59"/>
    <w:rsid w:val="0087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D0E87"/>
    <w:rPr>
      <w:rFonts w:ascii="Arial" w:hAnsi="Arial" w:cs="Arial"/>
      <w:b/>
      <w:bCs/>
      <w:kern w:val="32"/>
      <w:sz w:val="28"/>
      <w:szCs w:val="32"/>
      <w:lang w:eastAsia="en-US"/>
    </w:rPr>
  </w:style>
  <w:style w:type="character" w:customStyle="1" w:styleId="Heading2Char">
    <w:name w:val="Heading 2 Char"/>
    <w:link w:val="Heading2"/>
    <w:rsid w:val="00ED0E87"/>
    <w:rPr>
      <w:rFonts w:ascii="Arial" w:hAnsi="Arial" w:cs="Arial"/>
      <w:b/>
      <w:bCs/>
      <w:i/>
      <w:iCs/>
      <w:sz w:val="28"/>
      <w:szCs w:val="28"/>
      <w:lang w:eastAsia="en-US"/>
    </w:rPr>
  </w:style>
  <w:style w:type="character" w:customStyle="1" w:styleId="HeaderChar">
    <w:name w:val="Header Char"/>
    <w:link w:val="Header"/>
    <w:rsid w:val="00ED0E87"/>
    <w:rPr>
      <w:sz w:val="24"/>
      <w:szCs w:val="24"/>
    </w:rPr>
  </w:style>
  <w:style w:type="character" w:customStyle="1" w:styleId="FooterChar">
    <w:name w:val="Footer Char"/>
    <w:link w:val="Footer"/>
    <w:rsid w:val="00ED0E87"/>
    <w:rPr>
      <w:sz w:val="24"/>
      <w:szCs w:val="24"/>
    </w:rPr>
  </w:style>
  <w:style w:type="character" w:customStyle="1" w:styleId="BalloonTextChar">
    <w:name w:val="Balloon Text Char"/>
    <w:link w:val="BalloonText"/>
    <w:semiHidden/>
    <w:rsid w:val="00ED0E87"/>
    <w:rPr>
      <w:rFonts w:ascii="Tahoma" w:hAnsi="Tahoma" w:cs="Tahoma"/>
      <w:sz w:val="16"/>
      <w:szCs w:val="16"/>
    </w:rPr>
  </w:style>
  <w:style w:type="character" w:styleId="CommentReference">
    <w:name w:val="annotation reference"/>
    <w:basedOn w:val="DefaultParagraphFont"/>
    <w:uiPriority w:val="99"/>
    <w:semiHidden/>
    <w:unhideWhenUsed/>
    <w:rsid w:val="00615E3D"/>
    <w:rPr>
      <w:sz w:val="16"/>
      <w:szCs w:val="16"/>
    </w:rPr>
  </w:style>
  <w:style w:type="paragraph" w:styleId="CommentText">
    <w:name w:val="annotation text"/>
    <w:basedOn w:val="Normal"/>
    <w:link w:val="CommentTextChar"/>
    <w:uiPriority w:val="99"/>
    <w:semiHidden/>
    <w:unhideWhenUsed/>
    <w:rsid w:val="00615E3D"/>
    <w:rPr>
      <w:sz w:val="20"/>
      <w:szCs w:val="20"/>
    </w:rPr>
  </w:style>
  <w:style w:type="character" w:customStyle="1" w:styleId="CommentTextChar">
    <w:name w:val="Comment Text Char"/>
    <w:basedOn w:val="DefaultParagraphFont"/>
    <w:link w:val="CommentText"/>
    <w:uiPriority w:val="99"/>
    <w:semiHidden/>
    <w:rsid w:val="00615E3D"/>
  </w:style>
  <w:style w:type="paragraph" w:styleId="CommentSubject">
    <w:name w:val="annotation subject"/>
    <w:basedOn w:val="CommentText"/>
    <w:next w:val="CommentText"/>
    <w:link w:val="CommentSubjectChar"/>
    <w:uiPriority w:val="99"/>
    <w:semiHidden/>
    <w:unhideWhenUsed/>
    <w:rsid w:val="00615E3D"/>
    <w:rPr>
      <w:b/>
      <w:bCs/>
    </w:rPr>
  </w:style>
  <w:style w:type="character" w:customStyle="1" w:styleId="CommentSubjectChar">
    <w:name w:val="Comment Subject Char"/>
    <w:basedOn w:val="CommentTextChar"/>
    <w:link w:val="CommentSubject"/>
    <w:uiPriority w:val="99"/>
    <w:semiHidden/>
    <w:rsid w:val="00615E3D"/>
    <w:rPr>
      <w:b/>
      <w:bCs/>
    </w:rPr>
  </w:style>
  <w:style w:type="paragraph" w:styleId="ListParagraph">
    <w:name w:val="List Paragraph"/>
    <w:basedOn w:val="Normal"/>
    <w:uiPriority w:val="34"/>
    <w:qFormat/>
    <w:rsid w:val="0064375A"/>
    <w:pPr>
      <w:ind w:left="720"/>
      <w:contextualSpacing/>
    </w:pPr>
  </w:style>
  <w:style w:type="paragraph" w:customStyle="1" w:styleId="CharCharChar0">
    <w:name w:val="Char Char Char"/>
    <w:basedOn w:val="Normal"/>
    <w:rsid w:val="000E46D2"/>
    <w:pPr>
      <w:spacing w:after="160" w:line="240" w:lineRule="exact"/>
    </w:pPr>
    <w:rPr>
      <w:rFonts w:ascii="Tahoma" w:hAnsi="Tahoma"/>
      <w:sz w:val="20"/>
      <w:szCs w:val="20"/>
      <w:lang w:val="en-US" w:eastAsia="en-US"/>
    </w:rPr>
  </w:style>
  <w:style w:type="paragraph" w:styleId="Revision">
    <w:name w:val="Revision"/>
    <w:hidden/>
    <w:uiPriority w:val="99"/>
    <w:semiHidden/>
    <w:rsid w:val="0085177D"/>
    <w:rPr>
      <w:sz w:val="24"/>
      <w:szCs w:val="24"/>
    </w:rPr>
  </w:style>
  <w:style w:type="paragraph" w:styleId="NoSpacing">
    <w:name w:val="No Spacing"/>
    <w:uiPriority w:val="1"/>
    <w:qFormat/>
    <w:rsid w:val="003152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116">
      <w:bodyDiv w:val="1"/>
      <w:marLeft w:val="0"/>
      <w:marRight w:val="0"/>
      <w:marTop w:val="0"/>
      <w:marBottom w:val="0"/>
      <w:divBdr>
        <w:top w:val="none" w:sz="0" w:space="0" w:color="auto"/>
        <w:left w:val="none" w:sz="0" w:space="0" w:color="auto"/>
        <w:bottom w:val="none" w:sz="0" w:space="0" w:color="auto"/>
        <w:right w:val="none" w:sz="0" w:space="0" w:color="auto"/>
      </w:divBdr>
    </w:div>
    <w:div w:id="557253939">
      <w:bodyDiv w:val="1"/>
      <w:marLeft w:val="0"/>
      <w:marRight w:val="0"/>
      <w:marTop w:val="0"/>
      <w:marBottom w:val="0"/>
      <w:divBdr>
        <w:top w:val="none" w:sz="0" w:space="0" w:color="auto"/>
        <w:left w:val="none" w:sz="0" w:space="0" w:color="auto"/>
        <w:bottom w:val="none" w:sz="0" w:space="0" w:color="auto"/>
        <w:right w:val="none" w:sz="0" w:space="0" w:color="auto"/>
      </w:divBdr>
    </w:div>
    <w:div w:id="863251618">
      <w:bodyDiv w:val="1"/>
      <w:marLeft w:val="0"/>
      <w:marRight w:val="0"/>
      <w:marTop w:val="0"/>
      <w:marBottom w:val="0"/>
      <w:divBdr>
        <w:top w:val="none" w:sz="0" w:space="0" w:color="auto"/>
        <w:left w:val="none" w:sz="0" w:space="0" w:color="auto"/>
        <w:bottom w:val="none" w:sz="0" w:space="0" w:color="auto"/>
        <w:right w:val="none" w:sz="0" w:space="0" w:color="auto"/>
      </w:divBdr>
    </w:div>
    <w:div w:id="889269065">
      <w:bodyDiv w:val="1"/>
      <w:marLeft w:val="0"/>
      <w:marRight w:val="0"/>
      <w:marTop w:val="0"/>
      <w:marBottom w:val="0"/>
      <w:divBdr>
        <w:top w:val="none" w:sz="0" w:space="0" w:color="auto"/>
        <w:left w:val="none" w:sz="0" w:space="0" w:color="auto"/>
        <w:bottom w:val="none" w:sz="0" w:space="0" w:color="auto"/>
        <w:right w:val="none" w:sz="0" w:space="0" w:color="auto"/>
      </w:divBdr>
    </w:div>
    <w:div w:id="1187601754">
      <w:bodyDiv w:val="1"/>
      <w:marLeft w:val="0"/>
      <w:marRight w:val="0"/>
      <w:marTop w:val="0"/>
      <w:marBottom w:val="0"/>
      <w:divBdr>
        <w:top w:val="none" w:sz="0" w:space="0" w:color="auto"/>
        <w:left w:val="none" w:sz="0" w:space="0" w:color="auto"/>
        <w:bottom w:val="none" w:sz="0" w:space="0" w:color="auto"/>
        <w:right w:val="none" w:sz="0" w:space="0" w:color="auto"/>
      </w:divBdr>
    </w:div>
    <w:div w:id="1316685000">
      <w:bodyDiv w:val="1"/>
      <w:marLeft w:val="0"/>
      <w:marRight w:val="0"/>
      <w:marTop w:val="0"/>
      <w:marBottom w:val="0"/>
      <w:divBdr>
        <w:top w:val="none" w:sz="0" w:space="0" w:color="auto"/>
        <w:left w:val="none" w:sz="0" w:space="0" w:color="auto"/>
        <w:bottom w:val="none" w:sz="0" w:space="0" w:color="auto"/>
        <w:right w:val="none" w:sz="0" w:space="0" w:color="auto"/>
      </w:divBdr>
    </w:div>
    <w:div w:id="1466775889">
      <w:bodyDiv w:val="1"/>
      <w:marLeft w:val="0"/>
      <w:marRight w:val="0"/>
      <w:marTop w:val="0"/>
      <w:marBottom w:val="0"/>
      <w:divBdr>
        <w:top w:val="none" w:sz="0" w:space="0" w:color="auto"/>
        <w:left w:val="none" w:sz="0" w:space="0" w:color="auto"/>
        <w:bottom w:val="none" w:sz="0" w:space="0" w:color="auto"/>
        <w:right w:val="none" w:sz="0" w:space="0" w:color="auto"/>
      </w:divBdr>
    </w:div>
    <w:div w:id="1602032083">
      <w:bodyDiv w:val="1"/>
      <w:marLeft w:val="0"/>
      <w:marRight w:val="0"/>
      <w:marTop w:val="0"/>
      <w:marBottom w:val="0"/>
      <w:divBdr>
        <w:top w:val="none" w:sz="0" w:space="0" w:color="auto"/>
        <w:left w:val="none" w:sz="0" w:space="0" w:color="auto"/>
        <w:bottom w:val="none" w:sz="0" w:space="0" w:color="auto"/>
        <w:right w:val="none" w:sz="0" w:space="0" w:color="auto"/>
      </w:divBdr>
    </w:div>
    <w:div w:id="1690795201">
      <w:bodyDiv w:val="1"/>
      <w:marLeft w:val="0"/>
      <w:marRight w:val="0"/>
      <w:marTop w:val="0"/>
      <w:marBottom w:val="0"/>
      <w:divBdr>
        <w:top w:val="none" w:sz="0" w:space="0" w:color="auto"/>
        <w:left w:val="none" w:sz="0" w:space="0" w:color="auto"/>
        <w:bottom w:val="none" w:sz="0" w:space="0" w:color="auto"/>
        <w:right w:val="none" w:sz="0" w:space="0" w:color="auto"/>
      </w:divBdr>
    </w:div>
    <w:div w:id="1975602776">
      <w:bodyDiv w:val="1"/>
      <w:marLeft w:val="0"/>
      <w:marRight w:val="0"/>
      <w:marTop w:val="0"/>
      <w:marBottom w:val="0"/>
      <w:divBdr>
        <w:top w:val="none" w:sz="0" w:space="0" w:color="auto"/>
        <w:left w:val="none" w:sz="0" w:space="0" w:color="auto"/>
        <w:bottom w:val="none" w:sz="0" w:space="0" w:color="auto"/>
        <w:right w:val="none" w:sz="0" w:space="0" w:color="auto"/>
      </w:divBdr>
    </w:div>
    <w:div w:id="2013406683">
      <w:bodyDiv w:val="1"/>
      <w:marLeft w:val="0"/>
      <w:marRight w:val="0"/>
      <w:marTop w:val="0"/>
      <w:marBottom w:val="0"/>
      <w:divBdr>
        <w:top w:val="none" w:sz="0" w:space="0" w:color="auto"/>
        <w:left w:val="none" w:sz="0" w:space="0" w:color="auto"/>
        <w:bottom w:val="none" w:sz="0" w:space="0" w:color="auto"/>
        <w:right w:val="none" w:sz="0" w:space="0" w:color="auto"/>
      </w:divBdr>
    </w:div>
    <w:div w:id="2053533686">
      <w:bodyDiv w:val="1"/>
      <w:marLeft w:val="0"/>
      <w:marRight w:val="0"/>
      <w:marTop w:val="0"/>
      <w:marBottom w:val="0"/>
      <w:divBdr>
        <w:top w:val="none" w:sz="0" w:space="0" w:color="auto"/>
        <w:left w:val="none" w:sz="0" w:space="0" w:color="auto"/>
        <w:bottom w:val="none" w:sz="0" w:space="0" w:color="auto"/>
        <w:right w:val="none" w:sz="0" w:space="0" w:color="auto"/>
      </w:divBdr>
    </w:div>
    <w:div w:id="21049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2A66-77AE-4AF7-A534-E9ED981A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6003</Words>
  <Characters>34222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Board Scorecard</vt:lpstr>
    </vt:vector>
  </TitlesOfParts>
  <Company>SCS</Company>
  <LinksUpToDate>false</LinksUpToDate>
  <CharactersWithSpaces>40145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Scorecard</dc:title>
  <dc:creator>scoulter</dc:creator>
  <cp:lastModifiedBy>nrehfisch</cp:lastModifiedBy>
  <cp:revision>2</cp:revision>
  <cp:lastPrinted>2015-07-22T14:59:00Z</cp:lastPrinted>
  <dcterms:created xsi:type="dcterms:W3CDTF">2016-08-16T13:08:00Z</dcterms:created>
  <dcterms:modified xsi:type="dcterms:W3CDTF">2016-08-16T13:08:00Z</dcterms:modified>
</cp:coreProperties>
</file>