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89" w:rsidRDefault="00346C89" w:rsidP="00346C89">
      <w:pPr>
        <w:pStyle w:val="NoSpacing"/>
        <w:rPr>
          <w:b/>
          <w:color w:val="365F91" w:themeColor="accent1" w:themeShade="BF"/>
          <w:sz w:val="44"/>
          <w:szCs w:val="44"/>
        </w:rPr>
      </w:pPr>
    </w:p>
    <w:p w:rsidR="00346C89" w:rsidRDefault="00346C89" w:rsidP="00B51734">
      <w:pPr>
        <w:pStyle w:val="NoSpacing"/>
        <w:jc w:val="right"/>
        <w:rPr>
          <w:b/>
          <w:color w:val="365F91" w:themeColor="accent1" w:themeShade="BF"/>
          <w:sz w:val="44"/>
          <w:szCs w:val="44"/>
        </w:rPr>
      </w:pPr>
    </w:p>
    <w:p w:rsidR="00346C89" w:rsidRDefault="00B51734" w:rsidP="00B51734">
      <w:pPr>
        <w:pStyle w:val="NoSpacing"/>
        <w:jc w:val="right"/>
        <w:rPr>
          <w:b/>
          <w:color w:val="365F91" w:themeColor="accent1" w:themeShade="BF"/>
          <w:sz w:val="44"/>
          <w:szCs w:val="44"/>
        </w:rPr>
      </w:pPr>
      <w:r>
        <w:rPr>
          <w:noProof/>
          <w:lang w:eastAsia="en-GB"/>
        </w:rPr>
        <w:drawing>
          <wp:inline distT="0" distB="0" distL="0" distR="0" wp14:anchorId="5D82D3F0" wp14:editId="7F097B05">
            <wp:extent cx="2800350" cy="827429"/>
            <wp:effectExtent l="0" t="0" r="0" b="0"/>
            <wp:docPr id="3" name="Picture 3" descr="http://myscs/library/Support/Templates/Crests/SCTS/Scottish_Courts_Tribunals_Serv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scs/library/Support/Templates/Crests/SCTS/Scottish_Courts_Tribunals_Servi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9110" cy="827062"/>
                    </a:xfrm>
                    <a:prstGeom prst="rect">
                      <a:avLst/>
                    </a:prstGeom>
                    <a:noFill/>
                    <a:ln>
                      <a:noFill/>
                    </a:ln>
                  </pic:spPr>
                </pic:pic>
              </a:graphicData>
            </a:graphic>
          </wp:inline>
        </w:drawing>
      </w:r>
    </w:p>
    <w:p w:rsidR="00346C89" w:rsidRDefault="00346C89" w:rsidP="00B51734">
      <w:pPr>
        <w:pStyle w:val="NoSpacing"/>
        <w:jc w:val="right"/>
        <w:rPr>
          <w:b/>
          <w:color w:val="365F91" w:themeColor="accent1" w:themeShade="BF"/>
          <w:sz w:val="44"/>
          <w:szCs w:val="44"/>
        </w:rPr>
      </w:pPr>
    </w:p>
    <w:p w:rsidR="00B51734" w:rsidRDefault="00B51734" w:rsidP="00B51734">
      <w:pPr>
        <w:pStyle w:val="NoSpacing"/>
        <w:jc w:val="right"/>
        <w:rPr>
          <w:b/>
          <w:color w:val="365F91" w:themeColor="accent1" w:themeShade="BF"/>
          <w:sz w:val="52"/>
          <w:szCs w:val="52"/>
        </w:rPr>
      </w:pPr>
    </w:p>
    <w:p w:rsidR="00B51734" w:rsidRDefault="00B51734" w:rsidP="00346C89">
      <w:pPr>
        <w:pStyle w:val="NoSpacing"/>
        <w:rPr>
          <w:b/>
          <w:color w:val="365F91" w:themeColor="accent1" w:themeShade="BF"/>
          <w:sz w:val="52"/>
          <w:szCs w:val="52"/>
        </w:rPr>
      </w:pPr>
    </w:p>
    <w:p w:rsidR="00B51734" w:rsidRDefault="00B51734" w:rsidP="00346C89">
      <w:pPr>
        <w:pStyle w:val="NoSpacing"/>
        <w:rPr>
          <w:b/>
          <w:color w:val="365F91" w:themeColor="accent1" w:themeShade="BF"/>
          <w:sz w:val="52"/>
          <w:szCs w:val="52"/>
        </w:rPr>
      </w:pPr>
    </w:p>
    <w:p w:rsidR="00B51734" w:rsidRDefault="00B51734" w:rsidP="00346C89">
      <w:pPr>
        <w:pStyle w:val="NoSpacing"/>
        <w:rPr>
          <w:b/>
          <w:color w:val="365F91" w:themeColor="accent1" w:themeShade="BF"/>
          <w:sz w:val="52"/>
          <w:szCs w:val="52"/>
        </w:rPr>
      </w:pPr>
    </w:p>
    <w:p w:rsidR="00B51734" w:rsidRDefault="00B51734" w:rsidP="00346C89">
      <w:pPr>
        <w:pStyle w:val="NoSpacing"/>
        <w:rPr>
          <w:b/>
          <w:color w:val="365F91" w:themeColor="accent1" w:themeShade="BF"/>
          <w:sz w:val="52"/>
          <w:szCs w:val="52"/>
        </w:rPr>
      </w:pPr>
    </w:p>
    <w:p w:rsidR="00B51734" w:rsidRDefault="00B51734" w:rsidP="00346C89">
      <w:pPr>
        <w:pStyle w:val="NoSpacing"/>
        <w:rPr>
          <w:b/>
          <w:color w:val="365F91" w:themeColor="accent1" w:themeShade="BF"/>
          <w:sz w:val="52"/>
          <w:szCs w:val="52"/>
        </w:rPr>
      </w:pPr>
    </w:p>
    <w:p w:rsidR="00B51734" w:rsidRDefault="00B51734" w:rsidP="00346C89">
      <w:pPr>
        <w:pStyle w:val="NoSpacing"/>
        <w:rPr>
          <w:b/>
          <w:color w:val="365F91" w:themeColor="accent1" w:themeShade="BF"/>
          <w:sz w:val="52"/>
          <w:szCs w:val="52"/>
        </w:rPr>
      </w:pPr>
    </w:p>
    <w:p w:rsidR="00B51734" w:rsidRDefault="00B51734" w:rsidP="00346C89">
      <w:pPr>
        <w:pStyle w:val="NoSpacing"/>
        <w:rPr>
          <w:b/>
          <w:color w:val="365F91" w:themeColor="accent1" w:themeShade="BF"/>
          <w:sz w:val="52"/>
          <w:szCs w:val="52"/>
        </w:rPr>
      </w:pPr>
    </w:p>
    <w:p w:rsidR="00B51734" w:rsidRDefault="00B51734" w:rsidP="00346C89">
      <w:pPr>
        <w:pStyle w:val="NoSpacing"/>
        <w:rPr>
          <w:b/>
          <w:color w:val="365F91" w:themeColor="accent1" w:themeShade="BF"/>
          <w:sz w:val="52"/>
          <w:szCs w:val="52"/>
        </w:rPr>
      </w:pPr>
    </w:p>
    <w:p w:rsidR="00B51734" w:rsidRDefault="00B51734" w:rsidP="00346C89">
      <w:pPr>
        <w:pStyle w:val="NoSpacing"/>
        <w:rPr>
          <w:b/>
          <w:color w:val="365F91" w:themeColor="accent1" w:themeShade="BF"/>
          <w:sz w:val="52"/>
          <w:szCs w:val="52"/>
        </w:rPr>
      </w:pPr>
    </w:p>
    <w:p w:rsidR="00B51734" w:rsidRDefault="00B51734" w:rsidP="00346C89">
      <w:pPr>
        <w:pStyle w:val="NoSpacing"/>
        <w:rPr>
          <w:b/>
          <w:color w:val="365F91" w:themeColor="accent1" w:themeShade="BF"/>
          <w:sz w:val="52"/>
          <w:szCs w:val="52"/>
        </w:rPr>
      </w:pPr>
    </w:p>
    <w:p w:rsidR="009D699F" w:rsidRDefault="00EF1BF5" w:rsidP="00346C89">
      <w:pPr>
        <w:pStyle w:val="NoSpacing"/>
        <w:rPr>
          <w:b/>
          <w:color w:val="365F91" w:themeColor="accent1" w:themeShade="BF"/>
          <w:sz w:val="52"/>
          <w:szCs w:val="52"/>
        </w:rPr>
      </w:pPr>
      <w:r>
        <w:rPr>
          <w:b/>
          <w:color w:val="365F91" w:themeColor="accent1" w:themeShade="BF"/>
          <w:sz w:val="52"/>
          <w:szCs w:val="52"/>
        </w:rPr>
        <w:t xml:space="preserve">Evaluation </w:t>
      </w:r>
      <w:r w:rsidR="009D699F">
        <w:rPr>
          <w:b/>
          <w:color w:val="365F91" w:themeColor="accent1" w:themeShade="BF"/>
          <w:sz w:val="52"/>
          <w:szCs w:val="52"/>
        </w:rPr>
        <w:t xml:space="preserve">Report </w:t>
      </w:r>
      <w:r>
        <w:rPr>
          <w:b/>
          <w:color w:val="365F91" w:themeColor="accent1" w:themeShade="BF"/>
          <w:sz w:val="52"/>
          <w:szCs w:val="52"/>
        </w:rPr>
        <w:t>No</w:t>
      </w:r>
      <w:r w:rsidR="002B3A2E">
        <w:rPr>
          <w:b/>
          <w:color w:val="365F91" w:themeColor="accent1" w:themeShade="BF"/>
          <w:sz w:val="52"/>
          <w:szCs w:val="52"/>
        </w:rPr>
        <w:t>.</w:t>
      </w:r>
      <w:r>
        <w:rPr>
          <w:b/>
          <w:color w:val="365F91" w:themeColor="accent1" w:themeShade="BF"/>
          <w:sz w:val="52"/>
          <w:szCs w:val="52"/>
        </w:rPr>
        <w:t xml:space="preserve"> 1</w:t>
      </w:r>
      <w:r w:rsidR="009D699F">
        <w:rPr>
          <w:b/>
          <w:color w:val="365F91" w:themeColor="accent1" w:themeShade="BF"/>
          <w:sz w:val="52"/>
          <w:szCs w:val="52"/>
        </w:rPr>
        <w:t>:</w:t>
      </w:r>
      <w:r>
        <w:rPr>
          <w:b/>
          <w:color w:val="365F91" w:themeColor="accent1" w:themeShade="BF"/>
          <w:sz w:val="52"/>
          <w:szCs w:val="52"/>
        </w:rPr>
        <w:t xml:space="preserve"> </w:t>
      </w:r>
    </w:p>
    <w:p w:rsidR="00EF1BF5" w:rsidRPr="00B51734" w:rsidRDefault="00EF1BF5" w:rsidP="00346C89">
      <w:pPr>
        <w:pStyle w:val="NoSpacing"/>
        <w:rPr>
          <w:b/>
          <w:i/>
          <w:color w:val="365F91" w:themeColor="accent1" w:themeShade="BF"/>
          <w:sz w:val="32"/>
          <w:szCs w:val="32"/>
        </w:rPr>
      </w:pPr>
      <w:r w:rsidRPr="00B51734">
        <w:rPr>
          <w:b/>
          <w:i/>
          <w:color w:val="365F91" w:themeColor="accent1" w:themeShade="BF"/>
          <w:sz w:val="32"/>
          <w:szCs w:val="32"/>
        </w:rPr>
        <w:t xml:space="preserve">– Practice Note </w:t>
      </w:r>
      <w:r w:rsidR="006770CB" w:rsidRPr="00B51734">
        <w:rPr>
          <w:b/>
          <w:i/>
          <w:color w:val="365F91" w:themeColor="accent1" w:themeShade="BF"/>
          <w:sz w:val="32"/>
          <w:szCs w:val="32"/>
        </w:rPr>
        <w:t>1 of 2017 (Evidence by Commission</w:t>
      </w:r>
      <w:r w:rsidR="00622D98" w:rsidRPr="00B51734">
        <w:rPr>
          <w:b/>
          <w:i/>
          <w:color w:val="365F91" w:themeColor="accent1" w:themeShade="BF"/>
          <w:sz w:val="32"/>
          <w:szCs w:val="32"/>
        </w:rPr>
        <w:t>er</w:t>
      </w:r>
      <w:r w:rsidR="006770CB" w:rsidRPr="00B51734">
        <w:rPr>
          <w:b/>
          <w:i/>
          <w:color w:val="365F91" w:themeColor="accent1" w:themeShade="BF"/>
          <w:sz w:val="32"/>
          <w:szCs w:val="32"/>
        </w:rPr>
        <w:t>)</w:t>
      </w:r>
    </w:p>
    <w:p w:rsidR="000E2C9B" w:rsidRPr="00346C89" w:rsidRDefault="00EF1BF5" w:rsidP="00346C89">
      <w:pPr>
        <w:pStyle w:val="NoSpacing"/>
        <w:rPr>
          <w:b/>
          <w:color w:val="365F91" w:themeColor="accent1" w:themeShade="BF"/>
          <w:sz w:val="52"/>
          <w:szCs w:val="52"/>
        </w:rPr>
      </w:pPr>
      <w:r>
        <w:rPr>
          <w:b/>
          <w:color w:val="365F91" w:themeColor="accent1" w:themeShade="BF"/>
          <w:sz w:val="52"/>
          <w:szCs w:val="52"/>
        </w:rPr>
        <w:t xml:space="preserve"> </w:t>
      </w:r>
    </w:p>
    <w:p w:rsidR="00EF1BF5" w:rsidRDefault="00EF1BF5" w:rsidP="00EF1BF5">
      <w:pPr>
        <w:pStyle w:val="NoSpacing"/>
        <w:rPr>
          <w:i/>
          <w:color w:val="365F91" w:themeColor="accent1" w:themeShade="BF"/>
          <w:sz w:val="28"/>
          <w:szCs w:val="28"/>
        </w:rPr>
      </w:pPr>
      <w:r>
        <w:rPr>
          <w:i/>
          <w:color w:val="365F91" w:themeColor="accent1" w:themeShade="BF"/>
          <w:sz w:val="28"/>
          <w:szCs w:val="28"/>
        </w:rPr>
        <w:t xml:space="preserve">Covering: the 11 month period from May 2017 to March 2018 </w:t>
      </w:r>
    </w:p>
    <w:p w:rsidR="00EF1BF5" w:rsidRDefault="00EF1BF5" w:rsidP="00EF1BF5">
      <w:pPr>
        <w:pStyle w:val="NoSpacing"/>
        <w:rPr>
          <w:i/>
          <w:color w:val="365F91" w:themeColor="accent1" w:themeShade="BF"/>
          <w:sz w:val="28"/>
          <w:szCs w:val="28"/>
        </w:rPr>
      </w:pPr>
    </w:p>
    <w:p w:rsidR="00EF1BF5" w:rsidRDefault="00EF1BF5" w:rsidP="00EF1BF5">
      <w:pPr>
        <w:pStyle w:val="NoSpacing"/>
        <w:rPr>
          <w:i/>
          <w:color w:val="365F91" w:themeColor="accent1" w:themeShade="BF"/>
          <w:sz w:val="28"/>
          <w:szCs w:val="28"/>
        </w:rPr>
      </w:pPr>
    </w:p>
    <w:p w:rsidR="00EF1BF5" w:rsidRDefault="00EF1BF5" w:rsidP="00EF1BF5">
      <w:pPr>
        <w:pStyle w:val="NoSpacing"/>
        <w:rPr>
          <w:i/>
          <w:color w:val="365F91" w:themeColor="accent1" w:themeShade="BF"/>
          <w:sz w:val="28"/>
          <w:szCs w:val="28"/>
        </w:rPr>
      </w:pPr>
    </w:p>
    <w:p w:rsidR="00EF1BF5" w:rsidRDefault="00EF1BF5" w:rsidP="00EF1BF5">
      <w:pPr>
        <w:pStyle w:val="NoSpacing"/>
        <w:rPr>
          <w:i/>
          <w:color w:val="365F91" w:themeColor="accent1" w:themeShade="BF"/>
          <w:sz w:val="28"/>
          <w:szCs w:val="28"/>
        </w:rPr>
      </w:pPr>
      <w:r>
        <w:rPr>
          <w:i/>
          <w:color w:val="365F91" w:themeColor="accent1" w:themeShade="BF"/>
          <w:sz w:val="28"/>
          <w:szCs w:val="28"/>
        </w:rPr>
        <w:t xml:space="preserve">Issued: </w:t>
      </w:r>
      <w:r w:rsidR="00442CC0">
        <w:rPr>
          <w:i/>
          <w:color w:val="365F91" w:themeColor="accent1" w:themeShade="BF"/>
          <w:sz w:val="28"/>
          <w:szCs w:val="28"/>
        </w:rPr>
        <w:t xml:space="preserve">September </w:t>
      </w:r>
      <w:r>
        <w:rPr>
          <w:i/>
          <w:color w:val="365F91" w:themeColor="accent1" w:themeShade="BF"/>
          <w:sz w:val="28"/>
          <w:szCs w:val="28"/>
        </w:rPr>
        <w:t xml:space="preserve">2018 </w:t>
      </w:r>
    </w:p>
    <w:p w:rsidR="00346C89" w:rsidRDefault="00346C89" w:rsidP="00346C89">
      <w:pPr>
        <w:pStyle w:val="NoSpacing"/>
        <w:rPr>
          <w:i/>
          <w:color w:val="365F91" w:themeColor="accent1" w:themeShade="BF"/>
          <w:sz w:val="28"/>
          <w:szCs w:val="28"/>
        </w:rPr>
      </w:pPr>
    </w:p>
    <w:p w:rsidR="00346C89" w:rsidRDefault="00346C89" w:rsidP="00346C89">
      <w:pPr>
        <w:pStyle w:val="NoSpacing"/>
      </w:pPr>
    </w:p>
    <w:p w:rsidR="00346C89" w:rsidRDefault="00346C89" w:rsidP="00346C89">
      <w:pPr>
        <w:pStyle w:val="NoSpacing"/>
      </w:pPr>
    </w:p>
    <w:p w:rsidR="00346C89" w:rsidRPr="003B10BD" w:rsidRDefault="005B2040" w:rsidP="00F83F0F">
      <w:pPr>
        <w:pStyle w:val="NoSpacing"/>
        <w:rPr>
          <w:b/>
          <w:color w:val="365F91" w:themeColor="accent1" w:themeShade="BF"/>
        </w:rPr>
      </w:pPr>
      <w:r>
        <w:br w:type="page"/>
      </w:r>
      <w:r w:rsidR="009C4C31" w:rsidRPr="003B10BD">
        <w:rPr>
          <w:b/>
          <w:color w:val="365F91" w:themeColor="accent1" w:themeShade="BF"/>
        </w:rPr>
        <w:lastRenderedPageBreak/>
        <w:t>INTRODUCTION</w:t>
      </w:r>
    </w:p>
    <w:p w:rsidR="009C4C31" w:rsidRDefault="009C4C31" w:rsidP="00F83F0F">
      <w:pPr>
        <w:pStyle w:val="NoSpacing"/>
      </w:pPr>
    </w:p>
    <w:p w:rsidR="00CA72B9" w:rsidRDefault="00277BB4" w:rsidP="000A3D07">
      <w:pPr>
        <w:pStyle w:val="NoSpacing"/>
        <w:numPr>
          <w:ilvl w:val="0"/>
          <w:numId w:val="13"/>
        </w:numPr>
        <w:ind w:left="360"/>
      </w:pPr>
      <w:r>
        <w:t>The High Court of Justiciary</w:t>
      </w:r>
      <w:r w:rsidR="009C4C31">
        <w:t xml:space="preserve"> </w:t>
      </w:r>
      <w:r>
        <w:t>P</w:t>
      </w:r>
      <w:r w:rsidR="009C4C31">
        <w:t xml:space="preserve">ractice </w:t>
      </w:r>
      <w:r>
        <w:t>N</w:t>
      </w:r>
      <w:r w:rsidR="009C4C31">
        <w:t>ote</w:t>
      </w:r>
      <w:r>
        <w:t xml:space="preserve"> (1 of 2017)</w:t>
      </w:r>
      <w:r w:rsidR="00030826">
        <w:t xml:space="preserve"> </w:t>
      </w:r>
      <w:r>
        <w:rPr>
          <w:i/>
        </w:rPr>
        <w:t>(</w:t>
      </w:r>
      <w:r w:rsidR="00030826" w:rsidRPr="00622D98">
        <w:rPr>
          <w:i/>
        </w:rPr>
        <w:t>appendix 1)</w:t>
      </w:r>
      <w:r w:rsidR="00030826">
        <w:t xml:space="preserve"> </w:t>
      </w:r>
      <w:r w:rsidR="009C4C31">
        <w:t>on th</w:t>
      </w:r>
      <w:r w:rsidR="00030826">
        <w:t xml:space="preserve">e taking of </w:t>
      </w:r>
      <w:r>
        <w:t xml:space="preserve">evidence of a vulnerable witness by a Commissioner came into effect on 8 May 2017. This was as a consequence of the work of the </w:t>
      </w:r>
      <w:r w:rsidR="009C4C31">
        <w:t xml:space="preserve">Evidence </w:t>
      </w:r>
      <w:r>
        <w:t>and Procedure w</w:t>
      </w:r>
      <w:r w:rsidR="009C4C31">
        <w:t xml:space="preserve">orking </w:t>
      </w:r>
      <w:r>
        <w:t>g</w:t>
      </w:r>
      <w:r w:rsidR="009C4C31">
        <w:t>roup</w:t>
      </w:r>
      <w:r w:rsidR="00030826">
        <w:t xml:space="preserve">, led by Lady Dorian, </w:t>
      </w:r>
      <w:r>
        <w:t xml:space="preserve">on the pre-recording </w:t>
      </w:r>
      <w:r w:rsidR="00662332">
        <w:t>of evidence from</w:t>
      </w:r>
      <w:r>
        <w:t xml:space="preserve"> children and other vulnerable witnesses</w:t>
      </w:r>
      <w:r w:rsidR="005D2EC8">
        <w:t>.</w:t>
      </w:r>
      <w:r w:rsidR="00030826">
        <w:t xml:space="preserve">  </w:t>
      </w:r>
      <w:r w:rsidR="00BB284F">
        <w:t xml:space="preserve"> </w:t>
      </w:r>
      <w:r w:rsidR="00B050CA">
        <w:t xml:space="preserve">A series of Evaluation Reports </w:t>
      </w:r>
      <w:r>
        <w:t>is</w:t>
      </w:r>
      <w:r w:rsidR="00B050CA">
        <w:t xml:space="preserve"> planned t</w:t>
      </w:r>
      <w:r w:rsidR="00030826">
        <w:t xml:space="preserve">o </w:t>
      </w:r>
      <w:r w:rsidR="00BB284F">
        <w:t xml:space="preserve">help </w:t>
      </w:r>
      <w:r w:rsidR="00030826">
        <w:t>monitor whe</w:t>
      </w:r>
      <w:r>
        <w:t>ther the</w:t>
      </w:r>
      <w:r w:rsidR="005D2EC8">
        <w:t xml:space="preserve"> </w:t>
      </w:r>
      <w:r w:rsidR="005B2040">
        <w:t xml:space="preserve">new </w:t>
      </w:r>
      <w:r w:rsidR="005D2EC8">
        <w:t xml:space="preserve">Practice Note </w:t>
      </w:r>
      <w:r w:rsidR="005F35DD">
        <w:t xml:space="preserve">has </w:t>
      </w:r>
      <w:r w:rsidR="006960D5">
        <w:t xml:space="preserve">had its desired effect in terms of </w:t>
      </w:r>
      <w:r>
        <w:t xml:space="preserve">the way in which </w:t>
      </w:r>
      <w:r w:rsidR="000334B7">
        <w:t>evidence by commissioner hearings are conducted and in increasing the number of times this special measure is used</w:t>
      </w:r>
      <w:r w:rsidR="00CA72B9">
        <w:t>:</w:t>
      </w:r>
    </w:p>
    <w:p w:rsidR="00CA72B9" w:rsidRDefault="00CA72B9" w:rsidP="000A3D07">
      <w:pPr>
        <w:pStyle w:val="NoSpacing"/>
      </w:pPr>
    </w:p>
    <w:p w:rsidR="005D2EC8" w:rsidRDefault="00CA72B9" w:rsidP="00F4721A">
      <w:pPr>
        <w:pStyle w:val="NoSpacing"/>
        <w:numPr>
          <w:ilvl w:val="0"/>
          <w:numId w:val="9"/>
        </w:numPr>
      </w:pPr>
      <w:r w:rsidRPr="00BB284F">
        <w:rPr>
          <w:i/>
        </w:rPr>
        <w:t xml:space="preserve">Evaluation Report </w:t>
      </w:r>
      <w:r w:rsidR="00BB284F" w:rsidRPr="00BB284F">
        <w:rPr>
          <w:i/>
        </w:rPr>
        <w:t xml:space="preserve">No. 1 </w:t>
      </w:r>
      <w:r w:rsidR="006960D5" w:rsidRPr="00BB284F">
        <w:rPr>
          <w:i/>
        </w:rPr>
        <w:t>(this paper)</w:t>
      </w:r>
      <w:r w:rsidR="006960D5">
        <w:t xml:space="preserve"> - </w:t>
      </w:r>
      <w:r>
        <w:t xml:space="preserve">is focussed </w:t>
      </w:r>
      <w:r w:rsidR="005D2EC8">
        <w:t xml:space="preserve">on the </w:t>
      </w:r>
      <w:r>
        <w:t xml:space="preserve">way </w:t>
      </w:r>
      <w:r w:rsidR="000334B7">
        <w:t xml:space="preserve">in which </w:t>
      </w:r>
      <w:r>
        <w:t>the guidance within</w:t>
      </w:r>
      <w:r w:rsidR="005D2EC8">
        <w:t xml:space="preserve"> the Practice </w:t>
      </w:r>
      <w:r>
        <w:t>Note</w:t>
      </w:r>
      <w:r w:rsidR="005D2EC8">
        <w:t xml:space="preserve"> </w:t>
      </w:r>
      <w:r w:rsidR="000334B7">
        <w:t>has been</w:t>
      </w:r>
      <w:r w:rsidR="005B2040">
        <w:t xml:space="preserve"> perceived by those directly involved in making applications </w:t>
      </w:r>
      <w:r w:rsidR="000334B7">
        <w:t xml:space="preserve">for commissioner hearings </w:t>
      </w:r>
      <w:r>
        <w:t>in</w:t>
      </w:r>
      <w:r w:rsidR="005D2EC8">
        <w:t xml:space="preserve"> the first </w:t>
      </w:r>
      <w:r>
        <w:t>eleven</w:t>
      </w:r>
      <w:r w:rsidR="005D2EC8">
        <w:t xml:space="preserve"> months following its introduction</w:t>
      </w:r>
      <w:r>
        <w:t xml:space="preserve"> (i.e. through to the end of March 2018).</w:t>
      </w:r>
    </w:p>
    <w:p w:rsidR="00CA72B9" w:rsidRDefault="00CA72B9" w:rsidP="00F83F0F">
      <w:pPr>
        <w:pStyle w:val="NoSpacing"/>
      </w:pPr>
    </w:p>
    <w:p w:rsidR="00CA72B9" w:rsidRDefault="00CA72B9" w:rsidP="00F4721A">
      <w:pPr>
        <w:pStyle w:val="NoSpacing"/>
        <w:numPr>
          <w:ilvl w:val="0"/>
          <w:numId w:val="9"/>
        </w:numPr>
      </w:pPr>
      <w:r w:rsidRPr="00BB284F">
        <w:rPr>
          <w:i/>
        </w:rPr>
        <w:t>Evaluation Report</w:t>
      </w:r>
      <w:r w:rsidR="00BB284F" w:rsidRPr="00BB284F">
        <w:rPr>
          <w:i/>
        </w:rPr>
        <w:t xml:space="preserve"> No. 2</w:t>
      </w:r>
      <w:r>
        <w:t xml:space="preserve"> </w:t>
      </w:r>
      <w:r w:rsidR="006960D5">
        <w:t xml:space="preserve">- </w:t>
      </w:r>
      <w:r>
        <w:t xml:space="preserve">will </w:t>
      </w:r>
      <w:r w:rsidR="00636604">
        <w:t>follow</w:t>
      </w:r>
      <w:r w:rsidR="006960D5">
        <w:t xml:space="preserve"> </w:t>
      </w:r>
      <w:r w:rsidR="000334B7">
        <w:t xml:space="preserve">later in 2018 </w:t>
      </w:r>
      <w:r w:rsidR="00662332">
        <w:t>based on the outturn</w:t>
      </w:r>
      <w:r w:rsidR="002845F7">
        <w:t xml:space="preserve"> for the six months to Sep</w:t>
      </w:r>
      <w:r w:rsidR="005F35DD">
        <w:t>tember</w:t>
      </w:r>
      <w:r w:rsidR="002845F7">
        <w:t xml:space="preserve"> 2018.  That report</w:t>
      </w:r>
      <w:r w:rsidR="00435068">
        <w:t xml:space="preserve"> </w:t>
      </w:r>
      <w:r w:rsidR="00210547">
        <w:t xml:space="preserve">will </w:t>
      </w:r>
      <w:r>
        <w:t>focus on how wel</w:t>
      </w:r>
      <w:r w:rsidR="002845F7">
        <w:t xml:space="preserve">l </w:t>
      </w:r>
      <w:r w:rsidR="00435068">
        <w:t xml:space="preserve">the </w:t>
      </w:r>
      <w:r w:rsidR="002845F7">
        <w:t xml:space="preserve">component parts of the </w:t>
      </w:r>
      <w:r w:rsidR="00435068">
        <w:t>Justice System</w:t>
      </w:r>
      <w:r w:rsidR="00C567A4">
        <w:t xml:space="preserve"> have been</w:t>
      </w:r>
      <w:r w:rsidR="00435068">
        <w:t xml:space="preserve"> </w:t>
      </w:r>
      <w:r w:rsidR="000334B7">
        <w:t xml:space="preserve">able to </w:t>
      </w:r>
      <w:r>
        <w:t>resp</w:t>
      </w:r>
      <w:r w:rsidR="00435068">
        <w:t>ond</w:t>
      </w:r>
      <w:r w:rsidR="00622D98">
        <w:t xml:space="preserve"> to </w:t>
      </w:r>
      <w:r w:rsidR="002845F7">
        <w:t>growth</w:t>
      </w:r>
      <w:r w:rsidR="00622D98">
        <w:t xml:space="preserve"> in the volume of </w:t>
      </w:r>
      <w:r w:rsidR="00435068">
        <w:t>applications</w:t>
      </w:r>
      <w:r w:rsidR="000334B7">
        <w:t xml:space="preserve"> made</w:t>
      </w:r>
      <w:r w:rsidR="00435068">
        <w:t>.</w:t>
      </w:r>
    </w:p>
    <w:p w:rsidR="00435068" w:rsidRDefault="00435068" w:rsidP="00F83F0F">
      <w:pPr>
        <w:pStyle w:val="NoSpacing"/>
      </w:pPr>
    </w:p>
    <w:p w:rsidR="00596984" w:rsidRDefault="00596984" w:rsidP="00F83F0F">
      <w:pPr>
        <w:pStyle w:val="NoSpacing"/>
      </w:pPr>
      <w:bookmarkStart w:id="0" w:name="_GoBack"/>
      <w:bookmarkEnd w:id="0"/>
    </w:p>
    <w:p w:rsidR="00BB284F" w:rsidRDefault="00BB284F" w:rsidP="00F83F0F">
      <w:pPr>
        <w:pStyle w:val="NoSpacing"/>
      </w:pPr>
    </w:p>
    <w:p w:rsidR="00596984" w:rsidRPr="00596984" w:rsidRDefault="00596984" w:rsidP="00F83F0F">
      <w:pPr>
        <w:pStyle w:val="NoSpacing"/>
        <w:rPr>
          <w:b/>
          <w:color w:val="365F91" w:themeColor="accent1" w:themeShade="BF"/>
        </w:rPr>
      </w:pPr>
      <w:r w:rsidRPr="00596984">
        <w:rPr>
          <w:b/>
          <w:color w:val="365F91" w:themeColor="accent1" w:themeShade="BF"/>
        </w:rPr>
        <w:t>THE LEVEL OF DEMAND</w:t>
      </w:r>
      <w:r w:rsidR="0066493B">
        <w:rPr>
          <w:b/>
          <w:color w:val="365F91" w:themeColor="accent1" w:themeShade="BF"/>
        </w:rPr>
        <w:t xml:space="preserve"> </w:t>
      </w:r>
      <w:r w:rsidR="003A0237">
        <w:rPr>
          <w:b/>
          <w:color w:val="365F91" w:themeColor="accent1" w:themeShade="BF"/>
        </w:rPr>
        <w:t>(High Court Only)</w:t>
      </w:r>
    </w:p>
    <w:p w:rsidR="00596984" w:rsidRDefault="00596984" w:rsidP="00F83F0F">
      <w:pPr>
        <w:pStyle w:val="NoSpacing"/>
      </w:pPr>
    </w:p>
    <w:p w:rsidR="00210547" w:rsidRDefault="00596984" w:rsidP="000A3D07">
      <w:pPr>
        <w:pStyle w:val="NoSpacing"/>
        <w:numPr>
          <w:ilvl w:val="0"/>
          <w:numId w:val="13"/>
        </w:numPr>
        <w:ind w:left="360"/>
      </w:pPr>
      <w:r>
        <w:t>During 2017-18 there were a total of 792 indictments lodged with the High Court, and of those 461 (60%) proceeded to trial.</w:t>
      </w:r>
      <w:r w:rsidR="00210547">
        <w:t xml:space="preserve">  </w:t>
      </w:r>
      <w:r>
        <w:t xml:space="preserve">In that same period </w:t>
      </w:r>
      <w:r w:rsidR="002C6D70">
        <w:t xml:space="preserve">the </w:t>
      </w:r>
      <w:r>
        <w:t>applications</w:t>
      </w:r>
      <w:r w:rsidR="007A55A0">
        <w:t xml:space="preserve"> for taking </w:t>
      </w:r>
      <w:r w:rsidR="000334B7">
        <w:t>evidence by a c</w:t>
      </w:r>
      <w:r w:rsidRPr="000334B7">
        <w:t xml:space="preserve">ommissioner </w:t>
      </w:r>
      <w:r w:rsidR="002C6D70">
        <w:t>covered</w:t>
      </w:r>
      <w:r w:rsidR="007A55A0">
        <w:t xml:space="preserve"> </w:t>
      </w:r>
      <w:r w:rsidR="00311069">
        <w:t xml:space="preserve">the </w:t>
      </w:r>
      <w:r w:rsidR="002C6D70">
        <w:t xml:space="preserve">potential for </w:t>
      </w:r>
      <w:r w:rsidR="00636604">
        <w:t xml:space="preserve">pre-recording </w:t>
      </w:r>
      <w:r w:rsidR="002C6D70">
        <w:t>the</w:t>
      </w:r>
      <w:r w:rsidR="000334B7">
        <w:t xml:space="preserve"> evidence </w:t>
      </w:r>
      <w:r w:rsidR="002C6D70">
        <w:t>for</w:t>
      </w:r>
      <w:r w:rsidR="00311069">
        <w:t xml:space="preserve"> </w:t>
      </w:r>
      <w:r w:rsidR="007A55A0">
        <w:t>a tot</w:t>
      </w:r>
      <w:r w:rsidR="002C6D70">
        <w:t>al of 62</w:t>
      </w:r>
      <w:r>
        <w:t xml:space="preserve"> witnesses</w:t>
      </w:r>
      <w:r w:rsidR="00636604">
        <w:t xml:space="preserve"> </w:t>
      </w:r>
      <w:r w:rsidR="002C6D70">
        <w:rPr>
          <w:i/>
        </w:rPr>
        <w:t>(44 child witnesses and 18</w:t>
      </w:r>
      <w:r w:rsidR="007A55A0" w:rsidRPr="00210547">
        <w:rPr>
          <w:i/>
        </w:rPr>
        <w:t xml:space="preserve"> adult witnesses).</w:t>
      </w:r>
      <w:r w:rsidR="007A55A0">
        <w:t xml:space="preserve">  </w:t>
      </w:r>
    </w:p>
    <w:p w:rsidR="00210547" w:rsidRDefault="00210547" w:rsidP="000A3D07">
      <w:pPr>
        <w:pStyle w:val="NoSpacing"/>
      </w:pPr>
    </w:p>
    <w:p w:rsidR="00596984" w:rsidRDefault="00EF1531" w:rsidP="000A3D07">
      <w:pPr>
        <w:pStyle w:val="NoSpacing"/>
        <w:numPr>
          <w:ilvl w:val="0"/>
          <w:numId w:val="13"/>
        </w:numPr>
        <w:ind w:left="360"/>
      </w:pPr>
      <w:r>
        <w:t xml:space="preserve">High Court </w:t>
      </w:r>
      <w:r w:rsidR="000334B7" w:rsidRPr="000334B7">
        <w:t>data</w:t>
      </w:r>
      <w:r w:rsidR="006960D5" w:rsidRPr="000334B7">
        <w:t xml:space="preserve"> </w:t>
      </w:r>
      <w:r w:rsidR="006960D5">
        <w:t>currently</w:t>
      </w:r>
      <w:r w:rsidR="00210547">
        <w:t xml:space="preserve"> record</w:t>
      </w:r>
      <w:r w:rsidR="005F35DD">
        <w:t>s</w:t>
      </w:r>
      <w:r w:rsidR="00210547">
        <w:t xml:space="preserve"> the </w:t>
      </w:r>
      <w:r w:rsidR="003A0237">
        <w:t xml:space="preserve">breakdown </w:t>
      </w:r>
      <w:r w:rsidR="007A55A0">
        <w:t>o</w:t>
      </w:r>
      <w:r w:rsidR="005F35DD">
        <w:t xml:space="preserve">f </w:t>
      </w:r>
      <w:r w:rsidR="003A0237">
        <w:t xml:space="preserve">the </w:t>
      </w:r>
      <w:r w:rsidR="005F35DD">
        <w:t xml:space="preserve">applications </w:t>
      </w:r>
      <w:r w:rsidR="005D59A6">
        <w:t xml:space="preserve">it has </w:t>
      </w:r>
      <w:r>
        <w:t>received</w:t>
      </w:r>
      <w:r w:rsidR="003A0237">
        <w:t xml:space="preserve"> each</w:t>
      </w:r>
      <w:r w:rsidR="005F35DD">
        <w:t xml:space="preserve"> month </w:t>
      </w:r>
      <w:r w:rsidR="007A55A0">
        <w:t>as follows:</w:t>
      </w:r>
    </w:p>
    <w:p w:rsidR="007A55A0" w:rsidRDefault="006953A8" w:rsidP="00311069">
      <w:pPr>
        <w:pStyle w:val="NoSpacing"/>
        <w:jc w:val="center"/>
      </w:pPr>
      <w:r w:rsidRPr="006953A8">
        <w:rPr>
          <w:noProof/>
          <w:lang w:eastAsia="en-GB"/>
        </w:rPr>
        <w:drawing>
          <wp:inline distT="0" distB="0" distL="0" distR="0">
            <wp:extent cx="2876550" cy="2447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2447925"/>
                    </a:xfrm>
                    <a:prstGeom prst="rect">
                      <a:avLst/>
                    </a:prstGeom>
                    <a:noFill/>
                    <a:ln>
                      <a:noFill/>
                    </a:ln>
                  </pic:spPr>
                </pic:pic>
              </a:graphicData>
            </a:graphic>
          </wp:inline>
        </w:drawing>
      </w:r>
    </w:p>
    <w:p w:rsidR="007A55A0" w:rsidRDefault="007A55A0" w:rsidP="000A3D07">
      <w:pPr>
        <w:pStyle w:val="NoSpacing"/>
      </w:pPr>
    </w:p>
    <w:p w:rsidR="000A3D07" w:rsidRDefault="000A3D07" w:rsidP="000A3D07">
      <w:pPr>
        <w:pStyle w:val="NoSpacing"/>
      </w:pPr>
    </w:p>
    <w:p w:rsidR="00D530E4" w:rsidRDefault="007A55A0" w:rsidP="000A3D07">
      <w:pPr>
        <w:pStyle w:val="NoSpacing"/>
        <w:numPr>
          <w:ilvl w:val="0"/>
          <w:numId w:val="13"/>
        </w:numPr>
      </w:pPr>
      <w:r>
        <w:t xml:space="preserve">In previous years the number of such applications </w:t>
      </w:r>
      <w:r w:rsidR="000334B7">
        <w:t>has been in the order of</w:t>
      </w:r>
      <w:r w:rsidR="00210547">
        <w:t xml:space="preserve"> </w:t>
      </w:r>
      <w:r w:rsidR="00D530E4">
        <w:t>1 to 2 per month.  The P</w:t>
      </w:r>
      <w:r>
        <w:t xml:space="preserve">ractice </w:t>
      </w:r>
      <w:r w:rsidR="00D530E4">
        <w:t>N</w:t>
      </w:r>
      <w:r>
        <w:t xml:space="preserve">ote was introduced with effect from May 2017 and has </w:t>
      </w:r>
      <w:r w:rsidR="00EF1531">
        <w:t xml:space="preserve">clearly </w:t>
      </w:r>
      <w:r w:rsidR="00210547">
        <w:t>made a positive contribution</w:t>
      </w:r>
      <w:r w:rsidR="003A0237">
        <w:t xml:space="preserve"> </w:t>
      </w:r>
      <w:r w:rsidR="00D530E4">
        <w:t>in</w:t>
      </w:r>
      <w:r w:rsidR="003A0237">
        <w:t xml:space="preserve"> the</w:t>
      </w:r>
      <w:r>
        <w:t xml:space="preserve"> growth </w:t>
      </w:r>
      <w:r w:rsidR="00D530E4">
        <w:t>of the number of</w:t>
      </w:r>
      <w:r>
        <w:t xml:space="preserve"> applications </w:t>
      </w:r>
      <w:r w:rsidR="00D530E4">
        <w:t xml:space="preserve">made </w:t>
      </w:r>
      <w:r w:rsidR="0066493B">
        <w:t>e.g.</w:t>
      </w:r>
      <w:r w:rsidR="003A0237">
        <w:t xml:space="preserve"> </w:t>
      </w:r>
      <w:r w:rsidR="0066493B">
        <w:t xml:space="preserve">there was an average of </w:t>
      </w:r>
      <w:r w:rsidR="00742F74">
        <w:t>9</w:t>
      </w:r>
      <w:r w:rsidR="003A0237">
        <w:t xml:space="preserve"> applications per month</w:t>
      </w:r>
      <w:r w:rsidR="00311069">
        <w:t xml:space="preserve"> </w:t>
      </w:r>
      <w:r w:rsidR="005D59A6">
        <w:t xml:space="preserve">made </w:t>
      </w:r>
      <w:r w:rsidR="0066493B">
        <w:t>in the last quarter.</w:t>
      </w:r>
      <w:r w:rsidR="00D530E4">
        <w:t xml:space="preserve"> </w:t>
      </w:r>
    </w:p>
    <w:p w:rsidR="00D530E4" w:rsidRDefault="00D530E4" w:rsidP="000A3D07">
      <w:pPr>
        <w:pStyle w:val="NoSpacing"/>
      </w:pPr>
    </w:p>
    <w:p w:rsidR="00D530E4" w:rsidRDefault="00D530E4" w:rsidP="00F83F0F">
      <w:pPr>
        <w:pStyle w:val="NoSpacing"/>
      </w:pPr>
    </w:p>
    <w:p w:rsidR="007A55A0" w:rsidRDefault="00D530E4" w:rsidP="000A3D07">
      <w:pPr>
        <w:pStyle w:val="NoSpacing"/>
        <w:numPr>
          <w:ilvl w:val="0"/>
          <w:numId w:val="13"/>
        </w:numPr>
        <w:ind w:left="360"/>
      </w:pPr>
      <w:r>
        <w:t>T</w:t>
      </w:r>
      <w:r w:rsidR="003A0237">
        <w:t>hat</w:t>
      </w:r>
      <w:r w:rsidR="006960D5">
        <w:t xml:space="preserve"> </w:t>
      </w:r>
      <w:r w:rsidR="003A0237">
        <w:t xml:space="preserve">increase in </w:t>
      </w:r>
      <w:r w:rsidR="00311069">
        <w:t xml:space="preserve">volumes </w:t>
      </w:r>
      <w:r>
        <w:t xml:space="preserve">in 2017-18 is modest but we </w:t>
      </w:r>
      <w:r w:rsidR="003A0237">
        <w:t xml:space="preserve">expect growth </w:t>
      </w:r>
      <w:r w:rsidR="00311069">
        <w:t xml:space="preserve">to continue to build </w:t>
      </w:r>
      <w:r w:rsidR="006960D5">
        <w:t xml:space="preserve">strongly </w:t>
      </w:r>
      <w:r w:rsidR="00636604">
        <w:t>over the</w:t>
      </w:r>
      <w:r>
        <w:t xml:space="preserve"> coming</w:t>
      </w:r>
      <w:r w:rsidR="00636604">
        <w:t xml:space="preserve"> year</w:t>
      </w:r>
      <w:r>
        <w:t xml:space="preserve"> (2018-19) as practitioners become more familiar with the procedure and are better able to assess its benefits</w:t>
      </w:r>
      <w:r w:rsidR="00311069">
        <w:t>.</w:t>
      </w:r>
    </w:p>
    <w:p w:rsidR="00D530E4" w:rsidRDefault="00D530E4" w:rsidP="000A3D07">
      <w:pPr>
        <w:spacing w:after="0" w:line="240" w:lineRule="auto"/>
        <w:rPr>
          <w:b/>
          <w:color w:val="365F91" w:themeColor="accent1" w:themeShade="BF"/>
        </w:rPr>
      </w:pPr>
    </w:p>
    <w:p w:rsidR="00D530E4" w:rsidRDefault="00D530E4" w:rsidP="00D530E4">
      <w:pPr>
        <w:spacing w:after="0" w:line="240" w:lineRule="auto"/>
        <w:rPr>
          <w:b/>
          <w:color w:val="365F91" w:themeColor="accent1" w:themeShade="BF"/>
        </w:rPr>
      </w:pPr>
    </w:p>
    <w:p w:rsidR="00435068" w:rsidRPr="003B10BD" w:rsidRDefault="00435068" w:rsidP="00D530E4">
      <w:pPr>
        <w:spacing w:after="0" w:line="240" w:lineRule="auto"/>
        <w:rPr>
          <w:b/>
          <w:color w:val="365F91" w:themeColor="accent1" w:themeShade="BF"/>
        </w:rPr>
      </w:pPr>
      <w:r w:rsidRPr="003B10BD">
        <w:rPr>
          <w:b/>
          <w:color w:val="365F91" w:themeColor="accent1" w:themeShade="BF"/>
        </w:rPr>
        <w:t>METHODOLOGY</w:t>
      </w:r>
    </w:p>
    <w:p w:rsidR="00346C89" w:rsidRDefault="00346C89" w:rsidP="000A3D07">
      <w:pPr>
        <w:pStyle w:val="NoSpacing"/>
      </w:pPr>
    </w:p>
    <w:p w:rsidR="00435068" w:rsidRDefault="00886E9F" w:rsidP="000A3D07">
      <w:pPr>
        <w:pStyle w:val="NoSpacing"/>
        <w:numPr>
          <w:ilvl w:val="0"/>
          <w:numId w:val="13"/>
        </w:numPr>
      </w:pPr>
      <w:r>
        <w:t>For</w:t>
      </w:r>
      <w:r w:rsidR="00435068">
        <w:t xml:space="preserve"> this first evaluation </w:t>
      </w:r>
      <w:r w:rsidR="00D64A07">
        <w:t xml:space="preserve">report </w:t>
      </w:r>
      <w:r>
        <w:t xml:space="preserve">the aim </w:t>
      </w:r>
      <w:r w:rsidR="00D530E4">
        <w:t>is to assess how the Practice N</w:t>
      </w:r>
      <w:r w:rsidR="00435068">
        <w:t xml:space="preserve">ote </w:t>
      </w:r>
      <w:r>
        <w:t>is perceived</w:t>
      </w:r>
      <w:r w:rsidR="00662332">
        <w:t xml:space="preserve"> by </w:t>
      </w:r>
      <w:r w:rsidR="00435068">
        <w:t>users, and whether</w:t>
      </w:r>
      <w:r w:rsidR="00FD0885">
        <w:t xml:space="preserve"> it meets the objective</w:t>
      </w:r>
      <w:r w:rsidR="006960D5">
        <w:t xml:space="preserve"> </w:t>
      </w:r>
      <w:r w:rsidR="00435068">
        <w:t xml:space="preserve">set out </w:t>
      </w:r>
      <w:r w:rsidR="005F35DD">
        <w:t>w</w:t>
      </w:r>
      <w:r w:rsidR="00D530E4">
        <w:t>ithin the Practice N</w:t>
      </w:r>
      <w:r w:rsidR="006960D5">
        <w:t xml:space="preserve">ote </w:t>
      </w:r>
      <w:r w:rsidR="00662332">
        <w:t>itself</w:t>
      </w:r>
      <w:r w:rsidR="00FD0885">
        <w:t>:</w:t>
      </w:r>
    </w:p>
    <w:p w:rsidR="00FD0885" w:rsidRDefault="00FD0885" w:rsidP="000A3D07">
      <w:pPr>
        <w:pStyle w:val="NoSpacing"/>
      </w:pPr>
    </w:p>
    <w:p w:rsidR="00FD0885" w:rsidRPr="00662332" w:rsidRDefault="00FD0885" w:rsidP="00F83F0F">
      <w:pPr>
        <w:pStyle w:val="NoSpacing"/>
        <w:rPr>
          <w:i/>
        </w:rPr>
      </w:pPr>
      <w:r>
        <w:tab/>
      </w:r>
      <w:r>
        <w:tab/>
      </w:r>
      <w:r w:rsidRPr="00662332">
        <w:rPr>
          <w:i/>
        </w:rPr>
        <w:t>To provide guidance to practitioners on:</w:t>
      </w:r>
    </w:p>
    <w:p w:rsidR="00FD0885" w:rsidRPr="00662332" w:rsidRDefault="00FD0885" w:rsidP="00F4721A">
      <w:pPr>
        <w:pStyle w:val="NoSpacing"/>
        <w:numPr>
          <w:ilvl w:val="0"/>
          <w:numId w:val="8"/>
        </w:numPr>
        <w:rPr>
          <w:i/>
        </w:rPr>
      </w:pPr>
      <w:r w:rsidRPr="00662332">
        <w:rPr>
          <w:i/>
        </w:rPr>
        <w:t xml:space="preserve">When </w:t>
      </w:r>
      <w:r w:rsidR="00D530E4" w:rsidRPr="00662332">
        <w:rPr>
          <w:i/>
        </w:rPr>
        <w:t xml:space="preserve">consideration should be given as to whether </w:t>
      </w:r>
      <w:r w:rsidRPr="00662332">
        <w:rPr>
          <w:i/>
        </w:rPr>
        <w:t>a commission is required</w:t>
      </w:r>
      <w:r w:rsidR="00D530E4" w:rsidRPr="00662332">
        <w:rPr>
          <w:i/>
        </w:rPr>
        <w:t>.</w:t>
      </w:r>
    </w:p>
    <w:p w:rsidR="00435068" w:rsidRPr="00662332" w:rsidRDefault="00D530E4" w:rsidP="00F4721A">
      <w:pPr>
        <w:pStyle w:val="NoSpacing"/>
        <w:numPr>
          <w:ilvl w:val="0"/>
          <w:numId w:val="8"/>
        </w:numPr>
        <w:rPr>
          <w:i/>
        </w:rPr>
      </w:pPr>
      <w:r w:rsidRPr="00662332">
        <w:rPr>
          <w:i/>
        </w:rPr>
        <w:t xml:space="preserve">What must be done in preparation before </w:t>
      </w:r>
      <w:r w:rsidR="00FD0885" w:rsidRPr="00662332">
        <w:rPr>
          <w:i/>
        </w:rPr>
        <w:t>seeking authorisation</w:t>
      </w:r>
      <w:r w:rsidR="00A0525D" w:rsidRPr="00662332">
        <w:rPr>
          <w:i/>
        </w:rPr>
        <w:t xml:space="preserve"> to take the evidence of a vulnerable witness by a commissioner</w:t>
      </w:r>
    </w:p>
    <w:p w:rsidR="00FD0885" w:rsidRPr="00662332" w:rsidRDefault="00FD0885" w:rsidP="00F4721A">
      <w:pPr>
        <w:pStyle w:val="NoSpacing"/>
        <w:numPr>
          <w:ilvl w:val="0"/>
          <w:numId w:val="8"/>
        </w:numPr>
        <w:rPr>
          <w:i/>
        </w:rPr>
      </w:pPr>
      <w:r w:rsidRPr="00662332">
        <w:rPr>
          <w:i/>
        </w:rPr>
        <w:t xml:space="preserve">The issues the court expects to </w:t>
      </w:r>
      <w:r w:rsidR="00A0525D" w:rsidRPr="00662332">
        <w:rPr>
          <w:i/>
        </w:rPr>
        <w:t xml:space="preserve">be </w:t>
      </w:r>
      <w:r w:rsidRPr="00662332">
        <w:rPr>
          <w:i/>
        </w:rPr>
        <w:t>address</w:t>
      </w:r>
      <w:r w:rsidR="00A0525D" w:rsidRPr="00662332">
        <w:rPr>
          <w:i/>
        </w:rPr>
        <w:t>ed in the application</w:t>
      </w:r>
    </w:p>
    <w:p w:rsidR="00346C89" w:rsidRDefault="00346C89" w:rsidP="000A3D07">
      <w:pPr>
        <w:pStyle w:val="NoSpacing"/>
      </w:pPr>
    </w:p>
    <w:p w:rsidR="00886E9F" w:rsidRDefault="00886E9F" w:rsidP="000A3D07">
      <w:pPr>
        <w:pStyle w:val="NoSpacing"/>
        <w:numPr>
          <w:ilvl w:val="0"/>
          <w:numId w:val="13"/>
        </w:numPr>
      </w:pPr>
      <w:r>
        <w:t>The methodology used was to issue questionnaires to key participants during early Feb</w:t>
      </w:r>
      <w:r w:rsidR="00B66BB2">
        <w:t xml:space="preserve">ruary </w:t>
      </w:r>
      <w:r w:rsidR="006960D5">
        <w:t xml:space="preserve">2018, with </w:t>
      </w:r>
      <w:r>
        <w:t>responses to be returned during Mar</w:t>
      </w:r>
      <w:r w:rsidR="00B66BB2">
        <w:t>ch</w:t>
      </w:r>
      <w:r>
        <w:t xml:space="preserve"> 2018</w:t>
      </w:r>
      <w:r w:rsidR="00B66BB2">
        <w:t>.</w:t>
      </w:r>
      <w:r>
        <w:t xml:space="preserve">  </w:t>
      </w:r>
      <w:r w:rsidR="005B2040" w:rsidRPr="005B2040">
        <w:t>Separate questionnaires were issued to judges, the Crown Office and Procurator Fiscal Service (COPFS), Victim Information and Adv</w:t>
      </w:r>
      <w:r w:rsidR="005B2040">
        <w:t xml:space="preserve">isory Service (VIA) and </w:t>
      </w:r>
      <w:r w:rsidR="005B2040" w:rsidRPr="005B2040">
        <w:t xml:space="preserve">advocates/solicitor advocates seeking their views on whether the Practice Note has achieved its objectives and whether there any lessons to be learned or improvements made. The Scottish Criminal Bar Association </w:t>
      </w:r>
      <w:r w:rsidR="005B2040">
        <w:t>assisted with issuing</w:t>
      </w:r>
      <w:r w:rsidR="005B2040" w:rsidRPr="005B2040">
        <w:t xml:space="preserve"> the questionnaires to </w:t>
      </w:r>
      <w:r w:rsidR="005B2040">
        <w:t xml:space="preserve">their </w:t>
      </w:r>
      <w:r w:rsidR="005B2040" w:rsidRPr="005B2040">
        <w:t>members and COPFS issued the questionnaires to Advocate Deputes and VIA, and collated the VIA responses.</w:t>
      </w:r>
    </w:p>
    <w:p w:rsidR="00F4721A" w:rsidRDefault="00F4721A" w:rsidP="000A3D07">
      <w:pPr>
        <w:pStyle w:val="NoSpacing"/>
      </w:pPr>
    </w:p>
    <w:p w:rsidR="00B66BB2" w:rsidRDefault="005B2040" w:rsidP="000A3D07">
      <w:pPr>
        <w:pStyle w:val="NoSpacing"/>
        <w:numPr>
          <w:ilvl w:val="0"/>
          <w:numId w:val="13"/>
        </w:numPr>
      </w:pPr>
      <w:r>
        <w:t xml:space="preserve">An example </w:t>
      </w:r>
      <w:r w:rsidR="003B10BD">
        <w:t xml:space="preserve">of the questions </w:t>
      </w:r>
      <w:r>
        <w:t>as issued to COPFS is included as appendix 2 to this report</w:t>
      </w:r>
      <w:r w:rsidR="00B66BB2">
        <w:t xml:space="preserve"> to assist readers in understanding the </w:t>
      </w:r>
      <w:r w:rsidR="00BB284F">
        <w:t xml:space="preserve">type of </w:t>
      </w:r>
      <w:r w:rsidR="00B66BB2">
        <w:t>questions asked</w:t>
      </w:r>
      <w:r w:rsidR="003B10BD">
        <w:t>.</w:t>
      </w:r>
    </w:p>
    <w:p w:rsidR="00B66BB2" w:rsidRDefault="00B66BB2" w:rsidP="000A3D07">
      <w:pPr>
        <w:pStyle w:val="NoSpacing"/>
      </w:pPr>
    </w:p>
    <w:p w:rsidR="00311069" w:rsidRDefault="00311069" w:rsidP="00F83F0F">
      <w:pPr>
        <w:pStyle w:val="NoSpacing"/>
        <w:rPr>
          <w:b/>
          <w:color w:val="365F91" w:themeColor="accent1" w:themeShade="BF"/>
        </w:rPr>
      </w:pPr>
    </w:p>
    <w:p w:rsidR="00311069" w:rsidRDefault="00311069" w:rsidP="00F83F0F">
      <w:pPr>
        <w:pStyle w:val="NoSpacing"/>
        <w:rPr>
          <w:b/>
          <w:color w:val="365F91" w:themeColor="accent1" w:themeShade="BF"/>
        </w:rPr>
      </w:pPr>
    </w:p>
    <w:p w:rsidR="00B66BB2" w:rsidRPr="003B10BD" w:rsidRDefault="003B10BD" w:rsidP="00F83F0F">
      <w:pPr>
        <w:pStyle w:val="NoSpacing"/>
        <w:rPr>
          <w:b/>
          <w:color w:val="365F91" w:themeColor="accent1" w:themeShade="BF"/>
        </w:rPr>
      </w:pPr>
      <w:r>
        <w:rPr>
          <w:b/>
          <w:color w:val="365F91" w:themeColor="accent1" w:themeShade="BF"/>
        </w:rPr>
        <w:t>THE R</w:t>
      </w:r>
      <w:r w:rsidR="00B66BB2" w:rsidRPr="003B10BD">
        <w:rPr>
          <w:b/>
          <w:color w:val="365F91" w:themeColor="accent1" w:themeShade="BF"/>
        </w:rPr>
        <w:t>ESPONSES RECEIVED</w:t>
      </w:r>
    </w:p>
    <w:p w:rsidR="00F4721A" w:rsidRDefault="00F4721A" w:rsidP="000A3D07">
      <w:pPr>
        <w:pStyle w:val="NoSpacing"/>
      </w:pPr>
    </w:p>
    <w:p w:rsidR="00160729" w:rsidRDefault="00160729" w:rsidP="000A3D07">
      <w:pPr>
        <w:pStyle w:val="NoSpacing"/>
        <w:numPr>
          <w:ilvl w:val="0"/>
          <w:numId w:val="13"/>
        </w:numPr>
      </w:pPr>
      <w:r>
        <w:t xml:space="preserve">The SCTS received 18 </w:t>
      </w:r>
      <w:r w:rsidR="0087254D">
        <w:t xml:space="preserve">formal </w:t>
      </w:r>
      <w:r>
        <w:t>responses to the questionnaires as issued</w:t>
      </w:r>
      <w:r w:rsidR="0087254D">
        <w:t>, with some of those collating information from multiple individuals</w:t>
      </w:r>
      <w:r>
        <w:t>:</w:t>
      </w:r>
    </w:p>
    <w:p w:rsidR="00160729" w:rsidRDefault="00160729" w:rsidP="000A3D07">
      <w:pPr>
        <w:pStyle w:val="NoSpacing"/>
      </w:pPr>
    </w:p>
    <w:tbl>
      <w:tblPr>
        <w:tblStyle w:val="TableGrid"/>
        <w:tblW w:w="0" w:type="auto"/>
        <w:jc w:val="center"/>
        <w:tblLook w:val="04A0" w:firstRow="1" w:lastRow="0" w:firstColumn="1" w:lastColumn="0" w:noHBand="0" w:noVBand="1"/>
      </w:tblPr>
      <w:tblGrid>
        <w:gridCol w:w="5920"/>
        <w:gridCol w:w="1276"/>
      </w:tblGrid>
      <w:tr w:rsidR="00160729" w:rsidRPr="00EF1531" w:rsidTr="00EF1531">
        <w:trPr>
          <w:jc w:val="center"/>
        </w:trPr>
        <w:tc>
          <w:tcPr>
            <w:tcW w:w="5920" w:type="dxa"/>
            <w:shd w:val="clear" w:color="auto" w:fill="365F91" w:themeFill="accent1" w:themeFillShade="BF"/>
          </w:tcPr>
          <w:p w:rsidR="00160729" w:rsidRPr="00EF1531" w:rsidRDefault="00160729" w:rsidP="00F83F0F">
            <w:pPr>
              <w:pStyle w:val="NoSpacing"/>
              <w:rPr>
                <w:color w:val="FFFFFF" w:themeColor="background1"/>
                <w:sz w:val="18"/>
                <w:szCs w:val="18"/>
              </w:rPr>
            </w:pPr>
          </w:p>
        </w:tc>
        <w:tc>
          <w:tcPr>
            <w:tcW w:w="1276" w:type="dxa"/>
            <w:shd w:val="clear" w:color="auto" w:fill="365F91" w:themeFill="accent1" w:themeFillShade="BF"/>
          </w:tcPr>
          <w:p w:rsidR="00160729" w:rsidRPr="00EF1531" w:rsidRDefault="00160729" w:rsidP="00160729">
            <w:pPr>
              <w:pStyle w:val="NoSpacing"/>
              <w:jc w:val="center"/>
              <w:rPr>
                <w:color w:val="FFFFFF" w:themeColor="background1"/>
                <w:sz w:val="18"/>
                <w:szCs w:val="18"/>
              </w:rPr>
            </w:pPr>
            <w:r w:rsidRPr="00EF1531">
              <w:rPr>
                <w:color w:val="FFFFFF" w:themeColor="background1"/>
                <w:sz w:val="18"/>
                <w:szCs w:val="18"/>
              </w:rPr>
              <w:t>Number of</w:t>
            </w:r>
          </w:p>
          <w:p w:rsidR="00160729" w:rsidRPr="00EF1531" w:rsidRDefault="00160729" w:rsidP="00160729">
            <w:pPr>
              <w:pStyle w:val="NoSpacing"/>
              <w:jc w:val="center"/>
              <w:rPr>
                <w:color w:val="FFFFFF" w:themeColor="background1"/>
                <w:sz w:val="18"/>
                <w:szCs w:val="18"/>
              </w:rPr>
            </w:pPr>
            <w:r w:rsidRPr="00EF1531">
              <w:rPr>
                <w:color w:val="FFFFFF" w:themeColor="background1"/>
                <w:sz w:val="18"/>
                <w:szCs w:val="18"/>
              </w:rPr>
              <w:t>Responses</w:t>
            </w:r>
          </w:p>
        </w:tc>
      </w:tr>
      <w:tr w:rsidR="00160729" w:rsidRPr="00EF1531" w:rsidTr="00EF1531">
        <w:trPr>
          <w:jc w:val="center"/>
        </w:trPr>
        <w:tc>
          <w:tcPr>
            <w:tcW w:w="5920" w:type="dxa"/>
          </w:tcPr>
          <w:p w:rsidR="00160729" w:rsidRPr="00EF1531" w:rsidRDefault="00160729" w:rsidP="00F83F0F">
            <w:pPr>
              <w:pStyle w:val="NoSpacing"/>
              <w:rPr>
                <w:sz w:val="18"/>
                <w:szCs w:val="18"/>
              </w:rPr>
            </w:pPr>
            <w:r w:rsidRPr="00EF1531">
              <w:rPr>
                <w:sz w:val="18"/>
                <w:szCs w:val="18"/>
              </w:rPr>
              <w:t>Judiciary</w:t>
            </w:r>
          </w:p>
        </w:tc>
        <w:tc>
          <w:tcPr>
            <w:tcW w:w="1276" w:type="dxa"/>
          </w:tcPr>
          <w:p w:rsidR="00160729" w:rsidRPr="00EF1531" w:rsidRDefault="00160729" w:rsidP="00160729">
            <w:pPr>
              <w:pStyle w:val="NoSpacing"/>
              <w:jc w:val="center"/>
              <w:rPr>
                <w:sz w:val="18"/>
                <w:szCs w:val="18"/>
              </w:rPr>
            </w:pPr>
            <w:r w:rsidRPr="00EF1531">
              <w:rPr>
                <w:sz w:val="18"/>
                <w:szCs w:val="18"/>
              </w:rPr>
              <w:t>8</w:t>
            </w:r>
          </w:p>
        </w:tc>
      </w:tr>
      <w:tr w:rsidR="00160729" w:rsidRPr="00EF1531" w:rsidTr="00EF1531">
        <w:trPr>
          <w:jc w:val="center"/>
        </w:trPr>
        <w:tc>
          <w:tcPr>
            <w:tcW w:w="5920" w:type="dxa"/>
          </w:tcPr>
          <w:p w:rsidR="00160729" w:rsidRPr="00EF1531" w:rsidRDefault="00160729" w:rsidP="00F83F0F">
            <w:pPr>
              <w:pStyle w:val="NoSpacing"/>
              <w:rPr>
                <w:sz w:val="18"/>
                <w:szCs w:val="18"/>
              </w:rPr>
            </w:pPr>
            <w:r w:rsidRPr="00EF1531">
              <w:rPr>
                <w:sz w:val="18"/>
                <w:szCs w:val="18"/>
              </w:rPr>
              <w:t>Crown Office and Procurator Fiscal Service (COPFS)</w:t>
            </w:r>
          </w:p>
        </w:tc>
        <w:tc>
          <w:tcPr>
            <w:tcW w:w="1276" w:type="dxa"/>
          </w:tcPr>
          <w:p w:rsidR="00160729" w:rsidRPr="00EF1531" w:rsidRDefault="00160729" w:rsidP="00160729">
            <w:pPr>
              <w:pStyle w:val="NoSpacing"/>
              <w:jc w:val="center"/>
              <w:rPr>
                <w:sz w:val="18"/>
                <w:szCs w:val="18"/>
              </w:rPr>
            </w:pPr>
            <w:r w:rsidRPr="00EF1531">
              <w:rPr>
                <w:sz w:val="18"/>
                <w:szCs w:val="18"/>
              </w:rPr>
              <w:t>2</w:t>
            </w:r>
          </w:p>
        </w:tc>
      </w:tr>
      <w:tr w:rsidR="00160729" w:rsidRPr="00EF1531" w:rsidTr="00EF1531">
        <w:trPr>
          <w:jc w:val="center"/>
        </w:trPr>
        <w:tc>
          <w:tcPr>
            <w:tcW w:w="5920" w:type="dxa"/>
          </w:tcPr>
          <w:p w:rsidR="00160729" w:rsidRPr="00EF1531" w:rsidRDefault="00160729" w:rsidP="00F83F0F">
            <w:pPr>
              <w:pStyle w:val="NoSpacing"/>
              <w:rPr>
                <w:sz w:val="18"/>
                <w:szCs w:val="18"/>
              </w:rPr>
            </w:pPr>
            <w:r w:rsidRPr="00EF1531">
              <w:rPr>
                <w:sz w:val="18"/>
                <w:szCs w:val="18"/>
              </w:rPr>
              <w:t>Defence Agents</w:t>
            </w:r>
          </w:p>
        </w:tc>
        <w:tc>
          <w:tcPr>
            <w:tcW w:w="1276" w:type="dxa"/>
          </w:tcPr>
          <w:p w:rsidR="00160729" w:rsidRPr="00EF1531" w:rsidRDefault="00160729" w:rsidP="00160729">
            <w:pPr>
              <w:pStyle w:val="NoSpacing"/>
              <w:jc w:val="center"/>
              <w:rPr>
                <w:sz w:val="18"/>
                <w:szCs w:val="18"/>
              </w:rPr>
            </w:pPr>
            <w:r w:rsidRPr="00EF1531">
              <w:rPr>
                <w:sz w:val="18"/>
                <w:szCs w:val="18"/>
              </w:rPr>
              <w:t>2</w:t>
            </w:r>
          </w:p>
        </w:tc>
      </w:tr>
      <w:tr w:rsidR="00160729" w:rsidRPr="00EF1531" w:rsidTr="00EF1531">
        <w:trPr>
          <w:jc w:val="center"/>
        </w:trPr>
        <w:tc>
          <w:tcPr>
            <w:tcW w:w="5920" w:type="dxa"/>
          </w:tcPr>
          <w:p w:rsidR="00160729" w:rsidRPr="00EF1531" w:rsidRDefault="00160729" w:rsidP="00F83F0F">
            <w:pPr>
              <w:pStyle w:val="NoSpacing"/>
              <w:rPr>
                <w:sz w:val="18"/>
                <w:szCs w:val="18"/>
              </w:rPr>
            </w:pPr>
            <w:r w:rsidRPr="00EF1531">
              <w:rPr>
                <w:sz w:val="18"/>
                <w:szCs w:val="18"/>
              </w:rPr>
              <w:t>Victim Information and Advisory Service(VIA)</w:t>
            </w:r>
          </w:p>
        </w:tc>
        <w:tc>
          <w:tcPr>
            <w:tcW w:w="1276" w:type="dxa"/>
          </w:tcPr>
          <w:p w:rsidR="00160729" w:rsidRPr="00EF1531" w:rsidRDefault="00160729" w:rsidP="00160729">
            <w:pPr>
              <w:pStyle w:val="NoSpacing"/>
              <w:jc w:val="center"/>
              <w:rPr>
                <w:sz w:val="18"/>
                <w:szCs w:val="18"/>
              </w:rPr>
            </w:pPr>
            <w:r w:rsidRPr="00EF1531">
              <w:rPr>
                <w:sz w:val="18"/>
                <w:szCs w:val="18"/>
              </w:rPr>
              <w:t>6</w:t>
            </w:r>
          </w:p>
        </w:tc>
      </w:tr>
      <w:tr w:rsidR="00160729" w:rsidRPr="00EF1531" w:rsidTr="00EF1531">
        <w:trPr>
          <w:jc w:val="center"/>
        </w:trPr>
        <w:tc>
          <w:tcPr>
            <w:tcW w:w="5920" w:type="dxa"/>
          </w:tcPr>
          <w:p w:rsidR="00160729" w:rsidRPr="00EF1531" w:rsidRDefault="00160729" w:rsidP="00160729">
            <w:pPr>
              <w:pStyle w:val="NoSpacing"/>
              <w:jc w:val="right"/>
              <w:rPr>
                <w:i/>
                <w:sz w:val="18"/>
                <w:szCs w:val="18"/>
              </w:rPr>
            </w:pPr>
            <w:r w:rsidRPr="00EF1531">
              <w:rPr>
                <w:i/>
                <w:sz w:val="18"/>
                <w:szCs w:val="18"/>
              </w:rPr>
              <w:t>Total Responses</w:t>
            </w:r>
          </w:p>
        </w:tc>
        <w:tc>
          <w:tcPr>
            <w:tcW w:w="1276" w:type="dxa"/>
          </w:tcPr>
          <w:p w:rsidR="00160729" w:rsidRPr="00EF1531" w:rsidRDefault="00160729" w:rsidP="00160729">
            <w:pPr>
              <w:pStyle w:val="NoSpacing"/>
              <w:jc w:val="center"/>
              <w:rPr>
                <w:sz w:val="18"/>
                <w:szCs w:val="18"/>
              </w:rPr>
            </w:pPr>
            <w:r w:rsidRPr="00EF1531">
              <w:rPr>
                <w:sz w:val="18"/>
                <w:szCs w:val="18"/>
              </w:rPr>
              <w:t>18</w:t>
            </w:r>
          </w:p>
        </w:tc>
      </w:tr>
    </w:tbl>
    <w:p w:rsidR="00160729" w:rsidRDefault="00160729" w:rsidP="00F83F0F">
      <w:pPr>
        <w:pStyle w:val="NoSpacing"/>
      </w:pPr>
    </w:p>
    <w:p w:rsidR="00160729" w:rsidRDefault="00160729" w:rsidP="00F83F0F">
      <w:pPr>
        <w:pStyle w:val="NoSpacing"/>
      </w:pPr>
    </w:p>
    <w:p w:rsidR="00B66BB2" w:rsidRPr="00F83F0F" w:rsidRDefault="00B66BB2" w:rsidP="00F83F0F">
      <w:pPr>
        <w:pStyle w:val="NoSpacing"/>
        <w:rPr>
          <w:i/>
        </w:rPr>
      </w:pPr>
      <w:r w:rsidRPr="00F83F0F">
        <w:rPr>
          <w:i/>
          <w:u w:val="single"/>
        </w:rPr>
        <w:t>Judicial Feedback</w:t>
      </w:r>
      <w:r w:rsidRPr="00F83F0F">
        <w:rPr>
          <w:i/>
        </w:rPr>
        <w:t xml:space="preserve"> (8 responses)</w:t>
      </w:r>
    </w:p>
    <w:p w:rsidR="00B66BB2" w:rsidRDefault="00B66BB2" w:rsidP="00F83F0F">
      <w:pPr>
        <w:pStyle w:val="NoSpacing"/>
      </w:pPr>
    </w:p>
    <w:p w:rsidR="00B66BB2" w:rsidRDefault="00B66BB2" w:rsidP="000A3D07">
      <w:pPr>
        <w:pStyle w:val="NoSpacing"/>
        <w:numPr>
          <w:ilvl w:val="0"/>
          <w:numId w:val="13"/>
        </w:numPr>
      </w:pPr>
      <w:r>
        <w:t xml:space="preserve">All responses were favourable in terms of the Practice Note being helpful in identifying the issues in granting an application for the taking of evidence by a Commissioner. It was commented that the training provided previously to judges was helpful, and that refresher training should be considered in a year’s time. </w:t>
      </w:r>
    </w:p>
    <w:p w:rsidR="00B66BB2" w:rsidRDefault="00B66BB2" w:rsidP="00F83F0F">
      <w:pPr>
        <w:pStyle w:val="NoSpacing"/>
      </w:pPr>
    </w:p>
    <w:p w:rsidR="005748D1" w:rsidRDefault="00B66BB2" w:rsidP="000A3D07">
      <w:pPr>
        <w:pStyle w:val="NoSpacing"/>
        <w:numPr>
          <w:ilvl w:val="0"/>
          <w:numId w:val="13"/>
        </w:numPr>
      </w:pPr>
      <w:r>
        <w:lastRenderedPageBreak/>
        <w:t xml:space="preserve">There were mixed responses regarding the completion of the Vulnerable Witness application form - 37% of responses suggested that information was not always complete, with one response stating, </w:t>
      </w:r>
    </w:p>
    <w:p w:rsidR="005748D1" w:rsidRDefault="00B66BB2" w:rsidP="005748D1">
      <w:pPr>
        <w:pStyle w:val="NoSpacing"/>
        <w:ind w:left="720"/>
      </w:pPr>
      <w:r w:rsidRPr="005748D1">
        <w:rPr>
          <w:i/>
        </w:rPr>
        <w:t>“The applications are frequently lacking in information on the abilities of the witness and reports from psychologists etc. are sometimes not provided with the applications.”</w:t>
      </w:r>
      <w:r>
        <w:t xml:space="preserve">  </w:t>
      </w:r>
    </w:p>
    <w:p w:rsidR="005748D1" w:rsidRDefault="005748D1" w:rsidP="00F83F0F">
      <w:pPr>
        <w:pStyle w:val="NoSpacing"/>
      </w:pPr>
    </w:p>
    <w:p w:rsidR="00B66BB2" w:rsidRDefault="00B66BB2" w:rsidP="000A3D07">
      <w:pPr>
        <w:pStyle w:val="NoSpacing"/>
        <w:numPr>
          <w:ilvl w:val="0"/>
          <w:numId w:val="13"/>
        </w:numPr>
      </w:pPr>
      <w:r>
        <w:t xml:space="preserve">It was also suggested that the applications should be dated. </w:t>
      </w:r>
    </w:p>
    <w:p w:rsidR="005748D1" w:rsidRDefault="005748D1" w:rsidP="00F83F0F">
      <w:pPr>
        <w:pStyle w:val="NoSpacing"/>
      </w:pPr>
    </w:p>
    <w:p w:rsidR="005748D1" w:rsidRDefault="00B66BB2" w:rsidP="000A3D07">
      <w:pPr>
        <w:pStyle w:val="NoSpacing"/>
        <w:numPr>
          <w:ilvl w:val="0"/>
          <w:numId w:val="13"/>
        </w:numPr>
      </w:pPr>
      <w:r>
        <w:t>37% of respondents felt that the evidence and cross examination at a commission hearing was faster than if the witness was to at</w:t>
      </w:r>
      <w:r w:rsidR="005748D1">
        <w:t>tend trial. One response stated:</w:t>
      </w:r>
    </w:p>
    <w:p w:rsidR="00B66BB2" w:rsidRPr="005748D1" w:rsidRDefault="00B66BB2" w:rsidP="005748D1">
      <w:pPr>
        <w:pStyle w:val="NoSpacing"/>
        <w:ind w:left="720"/>
        <w:rPr>
          <w:i/>
        </w:rPr>
      </w:pPr>
      <w:r w:rsidRPr="005748D1">
        <w:rPr>
          <w:i/>
        </w:rPr>
        <w:t xml:space="preserve"> “If the witnesses’ evidence had been taken at trial under the pre-practice note system, then I would estimate that it would have taken twice as long.” </w:t>
      </w:r>
    </w:p>
    <w:p w:rsidR="00B66BB2" w:rsidRDefault="00B66BB2" w:rsidP="00F83F0F">
      <w:pPr>
        <w:pStyle w:val="NoSpacing"/>
      </w:pPr>
    </w:p>
    <w:p w:rsidR="005748D1" w:rsidRDefault="00F83F0F" w:rsidP="000A3D07">
      <w:pPr>
        <w:pStyle w:val="NoSpacing"/>
        <w:numPr>
          <w:ilvl w:val="0"/>
          <w:numId w:val="13"/>
        </w:numPr>
      </w:pPr>
      <w:r>
        <w:t xml:space="preserve">There is </w:t>
      </w:r>
      <w:r w:rsidR="00B66BB2">
        <w:t xml:space="preserve">strong support for focused questioning which is achieved by having a ground rules hearing. One response stated, </w:t>
      </w:r>
    </w:p>
    <w:p w:rsidR="00B66BB2" w:rsidRPr="005748D1" w:rsidRDefault="00B66BB2" w:rsidP="005748D1">
      <w:pPr>
        <w:pStyle w:val="NoSpacing"/>
        <w:ind w:left="720"/>
        <w:rPr>
          <w:i/>
        </w:rPr>
      </w:pPr>
      <w:r w:rsidRPr="005748D1">
        <w:rPr>
          <w:i/>
        </w:rPr>
        <w:t xml:space="preserve">“Counsel </w:t>
      </w:r>
      <w:proofErr w:type="gramStart"/>
      <w:r w:rsidRPr="005748D1">
        <w:rPr>
          <w:i/>
        </w:rPr>
        <w:t>were</w:t>
      </w:r>
      <w:proofErr w:type="gramEnd"/>
      <w:r w:rsidRPr="005748D1">
        <w:rPr>
          <w:i/>
        </w:rPr>
        <w:t xml:space="preserve"> very well prepared, questions were short and clear and the setting for the commission was appropriate.”</w:t>
      </w:r>
    </w:p>
    <w:p w:rsidR="00B66BB2" w:rsidRDefault="00B66BB2" w:rsidP="00F83F0F">
      <w:pPr>
        <w:pStyle w:val="NoSpacing"/>
      </w:pPr>
    </w:p>
    <w:p w:rsidR="00B66BB2" w:rsidRDefault="00B66BB2" w:rsidP="000A3D07">
      <w:pPr>
        <w:pStyle w:val="NoSpacing"/>
        <w:numPr>
          <w:ilvl w:val="0"/>
          <w:numId w:val="13"/>
        </w:numPr>
      </w:pPr>
      <w:r>
        <w:t xml:space="preserve">In terms of suggested improvements, one response referred to section 11 of the Practice Note - (the appropriate form of questions to be asked (the court may consider asking parties to prepare questions in writing)), which stated; </w:t>
      </w:r>
    </w:p>
    <w:p w:rsidR="00B66BB2" w:rsidRPr="005748D1" w:rsidRDefault="00B66BB2" w:rsidP="005748D1">
      <w:pPr>
        <w:pStyle w:val="NoSpacing"/>
        <w:ind w:left="720"/>
        <w:rPr>
          <w:i/>
        </w:rPr>
      </w:pPr>
      <w:r w:rsidRPr="005748D1">
        <w:rPr>
          <w:i/>
        </w:rPr>
        <w:t>“I wonder if this should be more directed to the court developing a culture whereby written questions are expected in the case of young children (certainly those aged under 10) and perhaps also in the case of witnesses with learning difficulties. I have invited questions on several occasions and it worked well. I did not encounter resistance from the bar. Defence counsel can apply themselves to the task and it helps them to learn how to frame questions in the light of the guidance in the Toolkits. It also demonstrates to defence counsel how many questions are unnecessary and so shortens questioning of the witness.”</w:t>
      </w:r>
    </w:p>
    <w:p w:rsidR="00B66BB2" w:rsidRDefault="00B66BB2" w:rsidP="00F83F0F">
      <w:pPr>
        <w:pStyle w:val="NoSpacing"/>
      </w:pPr>
    </w:p>
    <w:p w:rsidR="00B66BB2" w:rsidRDefault="00B66BB2" w:rsidP="000A3D07">
      <w:pPr>
        <w:pStyle w:val="NoSpacing"/>
        <w:numPr>
          <w:ilvl w:val="0"/>
          <w:numId w:val="13"/>
        </w:numPr>
      </w:pPr>
      <w:r>
        <w:t xml:space="preserve">Another suggested improvement was to have greater emphasis on providing the court with as much detail about the witness’ mental limitations and abilities to answer questions. It was considered that this would be valuable where the witness has such problems and that this would make it easier to ascertain what sort of questioning would be appropriate.  </w:t>
      </w:r>
    </w:p>
    <w:p w:rsidR="00B66BB2" w:rsidRDefault="00B66BB2" w:rsidP="00F83F0F">
      <w:pPr>
        <w:pStyle w:val="NoSpacing"/>
      </w:pPr>
    </w:p>
    <w:p w:rsidR="00064CB9" w:rsidRDefault="00064CB9" w:rsidP="00F83F0F">
      <w:pPr>
        <w:pStyle w:val="NoSpacing"/>
      </w:pPr>
    </w:p>
    <w:p w:rsidR="00B66BB2" w:rsidRPr="00F83F0F" w:rsidRDefault="00B66BB2" w:rsidP="00F83F0F">
      <w:pPr>
        <w:pStyle w:val="NoSpacing"/>
        <w:rPr>
          <w:i/>
        </w:rPr>
      </w:pPr>
      <w:r w:rsidRPr="00F83F0F">
        <w:rPr>
          <w:i/>
          <w:u w:val="single"/>
        </w:rPr>
        <w:t>COPFS Feedback</w:t>
      </w:r>
      <w:r w:rsidRPr="00F83F0F">
        <w:rPr>
          <w:i/>
        </w:rPr>
        <w:t xml:space="preserve"> (2 responses) </w:t>
      </w:r>
    </w:p>
    <w:p w:rsidR="00B66BB2" w:rsidRDefault="00B66BB2" w:rsidP="00F83F0F">
      <w:pPr>
        <w:pStyle w:val="NoSpacing"/>
      </w:pPr>
    </w:p>
    <w:p w:rsidR="00B66BB2" w:rsidRDefault="00F83F0F" w:rsidP="000A3D07">
      <w:pPr>
        <w:pStyle w:val="NoSpacing"/>
        <w:numPr>
          <w:ilvl w:val="0"/>
          <w:numId w:val="13"/>
        </w:numPr>
      </w:pPr>
      <w:r>
        <w:t xml:space="preserve">The </w:t>
      </w:r>
      <w:r w:rsidR="00B66BB2">
        <w:t xml:space="preserve">COPFS responses support the use of Evidence </w:t>
      </w:r>
      <w:r w:rsidR="00F4721A">
        <w:t xml:space="preserve">by Commissioner </w:t>
      </w:r>
      <w:proofErr w:type="gramStart"/>
      <w:r w:rsidR="00F4721A">
        <w:t>hearings</w:t>
      </w:r>
      <w:proofErr w:type="gramEnd"/>
      <w:r w:rsidR="00F4721A">
        <w:t xml:space="preserve"> where </w:t>
      </w:r>
      <w:r w:rsidR="00B66BB2">
        <w:t xml:space="preserve">appropriate, and view the Practice Note as being helpful. The main criticism relates to the current process for arranging the commission hearing and the time this can take. </w:t>
      </w:r>
    </w:p>
    <w:p w:rsidR="00B66BB2" w:rsidRDefault="00B66BB2" w:rsidP="00F83F0F">
      <w:pPr>
        <w:pStyle w:val="NoSpacing"/>
      </w:pPr>
    </w:p>
    <w:p w:rsidR="00B66BB2" w:rsidRDefault="00B66BB2" w:rsidP="000A3D07">
      <w:pPr>
        <w:pStyle w:val="NoSpacing"/>
        <w:numPr>
          <w:ilvl w:val="0"/>
          <w:numId w:val="13"/>
        </w:numPr>
      </w:pPr>
      <w:r>
        <w:t xml:space="preserve">Comments were made regarding the need to provide written questions beforehand and that it’s not always possible to produce a complete script for examination in chief. It was suggested that there should be some flexibility to go ‘off script’ although it was noted that the current practice varies and some judges require parties to seek leave before asking a question that is not on the list. </w:t>
      </w:r>
    </w:p>
    <w:p w:rsidR="00B66BB2" w:rsidRDefault="00B66BB2" w:rsidP="00F83F0F">
      <w:pPr>
        <w:pStyle w:val="NoSpacing"/>
      </w:pPr>
    </w:p>
    <w:p w:rsidR="00B66BB2" w:rsidRDefault="00B66BB2" w:rsidP="000A3D07">
      <w:pPr>
        <w:pStyle w:val="NoSpacing"/>
        <w:numPr>
          <w:ilvl w:val="0"/>
          <w:numId w:val="13"/>
        </w:numPr>
      </w:pPr>
      <w:r>
        <w:t>COPFS suggested that the witnesses’ ev</w:t>
      </w:r>
      <w:r w:rsidR="000A3D07">
        <w:t>idence took about the same time</w:t>
      </w:r>
      <w:r>
        <w:t xml:space="preserve"> </w:t>
      </w:r>
      <w:r w:rsidR="000A3D07">
        <w:t xml:space="preserve">or in some cases much less </w:t>
      </w:r>
      <w:proofErr w:type="gramStart"/>
      <w:r w:rsidR="000A3D07">
        <w:t>time</w:t>
      </w:r>
      <w:proofErr w:type="gramEnd"/>
      <w:r>
        <w:t xml:space="preserve"> at the commission hearing than at a trial.</w:t>
      </w:r>
    </w:p>
    <w:p w:rsidR="00B66BB2" w:rsidRDefault="00B66BB2" w:rsidP="00F83F0F">
      <w:pPr>
        <w:pStyle w:val="NoSpacing"/>
      </w:pPr>
    </w:p>
    <w:p w:rsidR="00B66BB2" w:rsidRDefault="00B66BB2" w:rsidP="000A3D07">
      <w:pPr>
        <w:pStyle w:val="NoSpacing"/>
        <w:numPr>
          <w:ilvl w:val="0"/>
          <w:numId w:val="13"/>
        </w:numPr>
      </w:pPr>
      <w:r>
        <w:lastRenderedPageBreak/>
        <w:t>In terms of what could be improved, it was suggested that a continued preliminary hearing could be fixed immediately before the commissi</w:t>
      </w:r>
      <w:r w:rsidR="00F83F0F">
        <w:t xml:space="preserve">on (e.g. for 9.30am for a 10am </w:t>
      </w:r>
      <w:r w:rsidR="005748D1">
        <w:t>commission</w:t>
      </w:r>
      <w:r w:rsidR="0068449B">
        <w:t xml:space="preserve">, with the same judge hearing </w:t>
      </w:r>
      <w:r>
        <w:t xml:space="preserve">both).  This would enable any unexpected procedural business to be dealt with.  For example, in one case, at the start of the commission the commissioner raised the prospect that some of the proposed defence questions might require a section 275 application.  This proved to be unnecessary, but if a section 275 application had been needed the Advocate </w:t>
      </w:r>
      <w:r w:rsidR="005748D1">
        <w:t>Deputes</w:t>
      </w:r>
      <w:r>
        <w:t xml:space="preserve"> understanding is that that could not have been moved at the commission itself.  Another example might be a late section 67 notice adding material for use at the commission.  Such matters ought to be addressed in advance of the day of the commission, but issues might arise unexpectedly – e.g. a motion to adjourn the trial due to a complainer’s health problems.</w:t>
      </w:r>
    </w:p>
    <w:p w:rsidR="000A3D07" w:rsidRDefault="000A3D07" w:rsidP="00F83F0F">
      <w:pPr>
        <w:pStyle w:val="NoSpacing"/>
      </w:pPr>
    </w:p>
    <w:p w:rsidR="00B66BB2" w:rsidRDefault="00B66BB2" w:rsidP="000A3D07">
      <w:pPr>
        <w:pStyle w:val="NoSpacing"/>
        <w:numPr>
          <w:ilvl w:val="0"/>
          <w:numId w:val="13"/>
        </w:numPr>
      </w:pPr>
      <w:r>
        <w:t>One response suggested that the Practice Note is repetitive at times and would benefit from being streamlined.</w:t>
      </w:r>
    </w:p>
    <w:p w:rsidR="00B66BB2" w:rsidRDefault="00B66BB2" w:rsidP="00F83F0F">
      <w:pPr>
        <w:pStyle w:val="NoSpacing"/>
      </w:pPr>
    </w:p>
    <w:p w:rsidR="00064CB9" w:rsidRDefault="00064CB9" w:rsidP="00F83F0F">
      <w:pPr>
        <w:pStyle w:val="NoSpacing"/>
      </w:pPr>
    </w:p>
    <w:p w:rsidR="00B66BB2" w:rsidRPr="00F83F0F" w:rsidRDefault="00B66BB2" w:rsidP="00F83F0F">
      <w:pPr>
        <w:pStyle w:val="NoSpacing"/>
        <w:rPr>
          <w:i/>
        </w:rPr>
      </w:pPr>
      <w:r w:rsidRPr="00F83F0F">
        <w:rPr>
          <w:i/>
          <w:u w:val="single"/>
        </w:rPr>
        <w:t>Defence Feedback</w:t>
      </w:r>
      <w:r w:rsidRPr="00F83F0F">
        <w:rPr>
          <w:i/>
        </w:rPr>
        <w:t xml:space="preserve"> (2 responses)</w:t>
      </w:r>
    </w:p>
    <w:p w:rsidR="00B66BB2" w:rsidRDefault="00B66BB2" w:rsidP="00F83F0F">
      <w:pPr>
        <w:pStyle w:val="NoSpacing"/>
      </w:pPr>
    </w:p>
    <w:p w:rsidR="00B66BB2" w:rsidRDefault="00B66BB2" w:rsidP="000A3D07">
      <w:pPr>
        <w:pStyle w:val="NoSpacing"/>
        <w:numPr>
          <w:ilvl w:val="0"/>
          <w:numId w:val="13"/>
        </w:numPr>
      </w:pPr>
      <w:r>
        <w:t xml:space="preserve">Feedback from defence respondents suggested that the Practice Note is clear, although it was noted that the preparation and presentation of written questions can be difficult and inflexible for the purpose of cross examination (and examination in chief) which will not always proceed as predicted. </w:t>
      </w:r>
    </w:p>
    <w:p w:rsidR="00B66BB2" w:rsidRDefault="00B66BB2" w:rsidP="00F83F0F">
      <w:pPr>
        <w:pStyle w:val="NoSpacing"/>
      </w:pPr>
    </w:p>
    <w:p w:rsidR="00B66BB2" w:rsidRDefault="00B66BB2" w:rsidP="000A3D07">
      <w:pPr>
        <w:pStyle w:val="NoSpacing"/>
        <w:numPr>
          <w:ilvl w:val="0"/>
          <w:numId w:val="13"/>
        </w:numPr>
      </w:pPr>
      <w:r>
        <w:t>Additionally, it was noted that it can be difficult to determine which Advocate Depute has been allocated a case (in advance of the commission and trial) and so the discussions can often take place later than would be desirable. Earlier notification of this would encourage earlier engagement.</w:t>
      </w:r>
    </w:p>
    <w:p w:rsidR="00B66BB2" w:rsidRDefault="00B66BB2" w:rsidP="00F83F0F">
      <w:pPr>
        <w:pStyle w:val="NoSpacing"/>
      </w:pPr>
    </w:p>
    <w:p w:rsidR="00B66BB2" w:rsidRDefault="00B66BB2" w:rsidP="000A3D07">
      <w:pPr>
        <w:pStyle w:val="NoSpacing"/>
        <w:numPr>
          <w:ilvl w:val="0"/>
          <w:numId w:val="13"/>
        </w:numPr>
      </w:pPr>
      <w:r>
        <w:t>All respondents stated that they did not experience the emergence of any material subsequent to the commission which would have the affected the way in which the commission was conducted and the questions asked.</w:t>
      </w:r>
    </w:p>
    <w:p w:rsidR="00B66BB2" w:rsidRDefault="00B66BB2" w:rsidP="00F83F0F">
      <w:pPr>
        <w:pStyle w:val="NoSpacing"/>
      </w:pPr>
    </w:p>
    <w:p w:rsidR="00B66BB2" w:rsidRDefault="00B66BB2" w:rsidP="000A3D07">
      <w:pPr>
        <w:pStyle w:val="NoSpacing"/>
        <w:numPr>
          <w:ilvl w:val="0"/>
          <w:numId w:val="13"/>
        </w:numPr>
      </w:pPr>
      <w:r>
        <w:t xml:space="preserve">In terms of what could be improved, one respondent noted that when he viewed the DVD of the commission, the image of the witness was not the dominant image due to the camera angle. It seemed that the questioning counsel was the dominant image on the screen rather than the witness which may have diminished the jury’s opportunity to fully assess the manner and demeanour of the witness. </w:t>
      </w:r>
    </w:p>
    <w:p w:rsidR="00B66BB2" w:rsidRDefault="00B66BB2" w:rsidP="00F83F0F">
      <w:pPr>
        <w:pStyle w:val="NoSpacing"/>
      </w:pPr>
    </w:p>
    <w:p w:rsidR="00064CB9" w:rsidRDefault="00064CB9" w:rsidP="00F83F0F">
      <w:pPr>
        <w:pStyle w:val="NoSpacing"/>
      </w:pPr>
    </w:p>
    <w:p w:rsidR="00B66BB2" w:rsidRPr="00F83F0F" w:rsidRDefault="00B66BB2" w:rsidP="00F83F0F">
      <w:pPr>
        <w:pStyle w:val="NoSpacing"/>
        <w:rPr>
          <w:i/>
        </w:rPr>
      </w:pPr>
      <w:r w:rsidRPr="00F83F0F">
        <w:rPr>
          <w:i/>
          <w:u w:val="single"/>
        </w:rPr>
        <w:t>Victim Information and Advisory Service Feedback</w:t>
      </w:r>
      <w:r w:rsidR="00F83F0F">
        <w:rPr>
          <w:i/>
        </w:rPr>
        <w:t xml:space="preserve"> </w:t>
      </w:r>
      <w:r w:rsidRPr="00F83F0F">
        <w:rPr>
          <w:i/>
        </w:rPr>
        <w:t>(6 Responses)</w:t>
      </w:r>
    </w:p>
    <w:p w:rsidR="00B66BB2" w:rsidRDefault="00B66BB2" w:rsidP="00F83F0F">
      <w:pPr>
        <w:pStyle w:val="NoSpacing"/>
      </w:pPr>
    </w:p>
    <w:p w:rsidR="00B66BB2" w:rsidRDefault="00B66BB2" w:rsidP="000A3D07">
      <w:pPr>
        <w:pStyle w:val="NoSpacing"/>
        <w:numPr>
          <w:ilvl w:val="0"/>
          <w:numId w:val="13"/>
        </w:numPr>
      </w:pPr>
      <w:r>
        <w:t xml:space="preserve">VIA respondents reported that the Practice Note assisted them when considering evidence by commission as a special measure and that the checklists are very helpful in drafting the VW application. Overall, the process of applying for and preparing for the preliminary hearing is easier than it used to be due to the methods of making the necessary practical arrangements and responsibilities of parties clearer. </w:t>
      </w:r>
    </w:p>
    <w:p w:rsidR="00B66BB2" w:rsidRDefault="00B66BB2" w:rsidP="00F83F0F">
      <w:pPr>
        <w:pStyle w:val="NoSpacing"/>
      </w:pPr>
    </w:p>
    <w:p w:rsidR="00B66BB2" w:rsidRDefault="00B66BB2" w:rsidP="000A3D07">
      <w:pPr>
        <w:pStyle w:val="NoSpacing"/>
        <w:numPr>
          <w:ilvl w:val="0"/>
          <w:numId w:val="13"/>
        </w:numPr>
      </w:pPr>
      <w:r>
        <w:t>While there was no specific feedback from witnesses, VIA reported that the limited locations in which commissions were held meant that the best option for witnesses was not being provided.</w:t>
      </w:r>
    </w:p>
    <w:p w:rsidR="00B66BB2" w:rsidRDefault="00B66BB2" w:rsidP="00F83F0F">
      <w:pPr>
        <w:pStyle w:val="NoSpacing"/>
      </w:pPr>
    </w:p>
    <w:p w:rsidR="000A3D07" w:rsidRDefault="000A3D07" w:rsidP="00F83F0F">
      <w:pPr>
        <w:pStyle w:val="NoSpacing"/>
      </w:pPr>
    </w:p>
    <w:p w:rsidR="000A3D07" w:rsidRDefault="000A3D07" w:rsidP="00F83F0F">
      <w:pPr>
        <w:pStyle w:val="NoSpacing"/>
      </w:pPr>
    </w:p>
    <w:p w:rsidR="00B66BB2" w:rsidRDefault="00B66BB2" w:rsidP="000A3D07">
      <w:pPr>
        <w:pStyle w:val="NoSpacing"/>
        <w:numPr>
          <w:ilvl w:val="0"/>
          <w:numId w:val="13"/>
        </w:numPr>
      </w:pPr>
      <w:r>
        <w:lastRenderedPageBreak/>
        <w:t xml:space="preserve">It was reported that Evidence by Commissioner </w:t>
      </w:r>
      <w:proofErr w:type="gramStart"/>
      <w:r>
        <w:t>hearings</w:t>
      </w:r>
      <w:proofErr w:type="gramEnd"/>
      <w:r>
        <w:t xml:space="preserve"> from remote links can be difficult for a number of reasons.  More often than not the local court is not advised that the hearing is taking place and it does not have staff/room available. Where a witness is giving evidence by Commissioner from a remote link there is no VIA support and therefore if there is a difficulty with the witness breaks/refusing to continue there is no one available to convey any issues to the Crown/AD. On one occasion there was a commission hearing where the AD required </w:t>
      </w:r>
      <w:proofErr w:type="gramStart"/>
      <w:r>
        <w:t>to show</w:t>
      </w:r>
      <w:proofErr w:type="gramEnd"/>
      <w:r>
        <w:t xml:space="preserve"> video footage to the witnesses.  There was no separate screen in the commission room which meant that part of the evidence (lap top used) could not be filmed in entirety.</w:t>
      </w:r>
    </w:p>
    <w:p w:rsidR="00B66BB2" w:rsidRDefault="00B66BB2" w:rsidP="00F83F0F">
      <w:pPr>
        <w:pStyle w:val="NoSpacing"/>
      </w:pPr>
    </w:p>
    <w:p w:rsidR="00B66BB2" w:rsidRDefault="00B66BB2" w:rsidP="000A3D07">
      <w:pPr>
        <w:pStyle w:val="NoSpacing"/>
        <w:numPr>
          <w:ilvl w:val="0"/>
          <w:numId w:val="13"/>
        </w:numPr>
      </w:pPr>
      <w:r>
        <w:t>The single biggest issue continues to be the provision of remote sites for commissions, as there are now no suitable non-court sites in the east of Scotland (apart from a newly assigned Edinburgh remote site in George House, which VIA are advised is not suitable so Sheriff Court Vulnerable Witness Rooms are used). Some of those are not suitable to accommodate face to face commissions, requiring room for 7/8 people which also creates some pressure on sheriff and jury trials.  While the Practice Note helpfully enshrines location as a key consideration for commissions VIA find that the logistics and practical limitations of available accommodation mean that they often have to approach the issue not on the basis of what is best for the child, but if the child can travel into Edinburgh.  Parliament House, while it has the best f</w:t>
      </w:r>
      <w:r w:rsidR="00F83F0F">
        <w:t xml:space="preserve">acilities for a Commission, is </w:t>
      </w:r>
      <w:r>
        <w:t>a very imposing building and does not have the facility to be a “remote site” so that the accused and Commissioner can be elsewhere with the child linking in from Parliament House.</w:t>
      </w:r>
    </w:p>
    <w:p w:rsidR="00B66BB2" w:rsidRDefault="00B66BB2" w:rsidP="000A3D07">
      <w:pPr>
        <w:pStyle w:val="NoSpacing"/>
        <w:ind w:firstLine="120"/>
      </w:pPr>
    </w:p>
    <w:p w:rsidR="00B66BB2" w:rsidRDefault="00B66BB2" w:rsidP="000A3D07">
      <w:pPr>
        <w:pStyle w:val="NoSpacing"/>
        <w:numPr>
          <w:ilvl w:val="0"/>
          <w:numId w:val="13"/>
        </w:numPr>
      </w:pPr>
      <w:r>
        <w:t xml:space="preserve">A pre-court visit is normally arranged to show the witness the room and have an opportunity to meet the Advocate Depute. Feedback from parents/guardians is that it is helpful to the child (in particular if they are very young) to meet both Counsel and the Judge on the day of the hearing and before the commission commences. It is also helpful for the child to see the room where the commission is to take place when it is all set up, to allow them to understand where all parties will be sitting and where they will be. </w:t>
      </w:r>
    </w:p>
    <w:p w:rsidR="00B66BB2" w:rsidRDefault="00B66BB2" w:rsidP="00F83F0F">
      <w:pPr>
        <w:pStyle w:val="NoSpacing"/>
      </w:pPr>
    </w:p>
    <w:p w:rsidR="00B66BB2" w:rsidRDefault="00B66BB2" w:rsidP="000A3D07">
      <w:pPr>
        <w:pStyle w:val="NoSpacing"/>
        <w:numPr>
          <w:ilvl w:val="0"/>
          <w:numId w:val="13"/>
        </w:numPr>
      </w:pPr>
      <w:r>
        <w:t>Parents of child witnesses have commented that when pre-commission visits are carried out, the room is empty and there is no camera equipment in place.  On the day of the commission, the witness enters a very different room full of people including a camera and operator.  This can be daunting for the witness and they should be made aware in advance that the room will look more crowded</w:t>
      </w:r>
      <w:r w:rsidR="00F4721A">
        <w:t xml:space="preserve"> </w:t>
      </w:r>
      <w:r>
        <w:t>/</w:t>
      </w:r>
      <w:r w:rsidR="00F4721A">
        <w:t xml:space="preserve"> </w:t>
      </w:r>
      <w:r>
        <w:t xml:space="preserve">different on the day.  </w:t>
      </w:r>
    </w:p>
    <w:p w:rsidR="005748D1" w:rsidRDefault="005748D1" w:rsidP="00F4721A">
      <w:pPr>
        <w:pStyle w:val="NoSpacing"/>
        <w:rPr>
          <w:b/>
          <w:color w:val="365F91" w:themeColor="accent1" w:themeShade="BF"/>
        </w:rPr>
      </w:pPr>
    </w:p>
    <w:p w:rsidR="005748D1" w:rsidRDefault="005748D1" w:rsidP="00F4721A">
      <w:pPr>
        <w:pStyle w:val="NoSpacing"/>
        <w:rPr>
          <w:b/>
          <w:color w:val="365F91" w:themeColor="accent1" w:themeShade="BF"/>
        </w:rPr>
      </w:pPr>
    </w:p>
    <w:p w:rsidR="005748D1" w:rsidRDefault="005748D1" w:rsidP="00F4721A">
      <w:pPr>
        <w:pStyle w:val="NoSpacing"/>
        <w:rPr>
          <w:b/>
          <w:color w:val="365F91" w:themeColor="accent1" w:themeShade="BF"/>
        </w:rPr>
      </w:pPr>
    </w:p>
    <w:p w:rsidR="002845F7" w:rsidRPr="00E159F6" w:rsidRDefault="002845F7" w:rsidP="00F4721A">
      <w:pPr>
        <w:pStyle w:val="NoSpacing"/>
        <w:rPr>
          <w:b/>
          <w:color w:val="365F91" w:themeColor="accent1" w:themeShade="BF"/>
        </w:rPr>
      </w:pPr>
      <w:r w:rsidRPr="00E159F6">
        <w:rPr>
          <w:b/>
          <w:color w:val="365F91" w:themeColor="accent1" w:themeShade="BF"/>
        </w:rPr>
        <w:t>CONCLUSIONS</w:t>
      </w:r>
    </w:p>
    <w:p w:rsidR="002845F7" w:rsidRDefault="002845F7" w:rsidP="00F4721A">
      <w:pPr>
        <w:pStyle w:val="NoSpacing"/>
      </w:pPr>
    </w:p>
    <w:p w:rsidR="002845F7" w:rsidRDefault="002845F7" w:rsidP="000A3D07">
      <w:pPr>
        <w:pStyle w:val="NoSpacing"/>
        <w:numPr>
          <w:ilvl w:val="0"/>
          <w:numId w:val="13"/>
        </w:numPr>
      </w:pPr>
      <w:r>
        <w:t xml:space="preserve">The conclusions </w:t>
      </w:r>
      <w:r w:rsidR="00B63C5E">
        <w:t xml:space="preserve">that can be drawn </w:t>
      </w:r>
      <w:r w:rsidR="00E159F6">
        <w:t>from</w:t>
      </w:r>
      <w:r w:rsidR="005748D1">
        <w:t xml:space="preserve"> the</w:t>
      </w:r>
      <w:r w:rsidR="00E159F6">
        <w:t xml:space="preserve"> </w:t>
      </w:r>
      <w:r w:rsidR="00160729">
        <w:t xml:space="preserve">18 </w:t>
      </w:r>
      <w:r w:rsidR="00B63C5E">
        <w:t>responses received</w:t>
      </w:r>
      <w:r w:rsidR="00E159F6">
        <w:t xml:space="preserve"> are:</w:t>
      </w:r>
    </w:p>
    <w:p w:rsidR="00E159F6" w:rsidRDefault="00E159F6" w:rsidP="00F4721A">
      <w:pPr>
        <w:pStyle w:val="NoSpacing"/>
      </w:pPr>
    </w:p>
    <w:p w:rsidR="00E159F6" w:rsidRDefault="00E159F6" w:rsidP="000A3D07">
      <w:pPr>
        <w:pStyle w:val="NoSpacing"/>
        <w:ind w:left="1440"/>
      </w:pPr>
      <w:r w:rsidRPr="00E159F6">
        <w:rPr>
          <w:i/>
        </w:rPr>
        <w:t>Guidance</w:t>
      </w:r>
      <w:r>
        <w:t xml:space="preserve"> – The new Practice Note has</w:t>
      </w:r>
      <w:r w:rsidR="00563957">
        <w:t xml:space="preserve"> been well received and </w:t>
      </w:r>
      <w:r w:rsidR="009048EA">
        <w:t xml:space="preserve">it </w:t>
      </w:r>
      <w:r w:rsidR="00563957">
        <w:t>has</w:t>
      </w:r>
      <w:r>
        <w:t xml:space="preserve"> delivered improved guidance to those </w:t>
      </w:r>
      <w:r w:rsidR="005F35DD">
        <w:t xml:space="preserve">who were </w:t>
      </w:r>
      <w:r w:rsidR="00EA7FE7">
        <w:t>actively</w:t>
      </w:r>
      <w:r w:rsidR="00563957">
        <w:t xml:space="preserve"> </w:t>
      </w:r>
      <w:r>
        <w:t>involved in the process of taking Evidence by Commissioner</w:t>
      </w:r>
      <w:r w:rsidR="00563957">
        <w:t xml:space="preserve">. </w:t>
      </w:r>
      <w:r w:rsidR="00D614CE">
        <w:t>It</w:t>
      </w:r>
      <w:r w:rsidR="00563957">
        <w:t xml:space="preserve"> </w:t>
      </w:r>
      <w:r w:rsidR="00E91252">
        <w:t>has been</w:t>
      </w:r>
      <w:r w:rsidR="00563957">
        <w:t xml:space="preserve"> </w:t>
      </w:r>
      <w:r w:rsidR="00D40975">
        <w:t xml:space="preserve">seen by </w:t>
      </w:r>
      <w:r w:rsidR="00B92DA7">
        <w:t xml:space="preserve">the </w:t>
      </w:r>
      <w:r w:rsidR="00D40975">
        <w:t xml:space="preserve">respondents </w:t>
      </w:r>
      <w:r w:rsidR="00E91252">
        <w:t>as</w:t>
      </w:r>
      <w:r w:rsidR="00D40975">
        <w:t xml:space="preserve"> </w:t>
      </w:r>
      <w:r w:rsidR="00563957">
        <w:t>meet</w:t>
      </w:r>
      <w:r w:rsidR="009048EA">
        <w:t>ing</w:t>
      </w:r>
      <w:r w:rsidR="00A0525D">
        <w:t xml:space="preserve"> its objective</w:t>
      </w:r>
      <w:r w:rsidR="00563957">
        <w:t xml:space="preserve"> of </w:t>
      </w:r>
      <w:r w:rsidR="009048EA">
        <w:t>providing greater clarity on a)</w:t>
      </w:r>
      <w:r w:rsidR="00563957">
        <w:t xml:space="preserve"> when a commission </w:t>
      </w:r>
      <w:r w:rsidR="009048EA">
        <w:t>is</w:t>
      </w:r>
      <w:r w:rsidR="00563957">
        <w:t xml:space="preserve"> appropriate</w:t>
      </w:r>
      <w:r w:rsidR="009048EA">
        <w:t xml:space="preserve"> b) </w:t>
      </w:r>
      <w:r w:rsidR="00563957">
        <w:t>the level of preparation expected and</w:t>
      </w:r>
      <w:r w:rsidR="009048EA">
        <w:t xml:space="preserve"> c) the likely questions that the court needs to have addressed.</w:t>
      </w:r>
      <w:r w:rsidR="00D614CE">
        <w:t xml:space="preserve"> </w:t>
      </w:r>
      <w:r w:rsidR="0087254D">
        <w:t>Suggested improvements included</w:t>
      </w:r>
      <w:r w:rsidR="00E91252">
        <w:t xml:space="preserve"> numbering the subparagraphs</w:t>
      </w:r>
      <w:r w:rsidR="00B140D8">
        <w:t>, along with strengthen</w:t>
      </w:r>
      <w:r w:rsidR="00B92DA7">
        <w:t>ing</w:t>
      </w:r>
      <w:r w:rsidR="00B140D8">
        <w:t xml:space="preserve"> the level of detail provided to the bench on the specific vulnerabilities </w:t>
      </w:r>
      <w:r w:rsidR="00A0525D">
        <w:t>of</w:t>
      </w:r>
      <w:r w:rsidR="00B140D8">
        <w:t xml:space="preserve"> each witness.</w:t>
      </w:r>
    </w:p>
    <w:p w:rsidR="009048EA" w:rsidRDefault="009048EA" w:rsidP="000A3D07">
      <w:pPr>
        <w:pStyle w:val="NoSpacing"/>
        <w:ind w:left="1440"/>
      </w:pPr>
    </w:p>
    <w:p w:rsidR="002845F7" w:rsidRDefault="009048EA" w:rsidP="000A3D07">
      <w:pPr>
        <w:pStyle w:val="NoSpacing"/>
        <w:ind w:left="1440"/>
      </w:pPr>
      <w:r w:rsidRPr="009048EA">
        <w:rPr>
          <w:i/>
        </w:rPr>
        <w:lastRenderedPageBreak/>
        <w:t xml:space="preserve">Demand </w:t>
      </w:r>
      <w:r>
        <w:t xml:space="preserve">– The aim of the practice note is to help drive up the use of this special measure. Previously demand was running at an average </w:t>
      </w:r>
      <w:r w:rsidR="005F35DD">
        <w:t>of</w:t>
      </w:r>
      <w:r>
        <w:t xml:space="preserve"> 1 -</w:t>
      </w:r>
      <w:r w:rsidR="00EF1531">
        <w:t xml:space="preserve"> </w:t>
      </w:r>
      <w:r>
        <w:t>2 applications per month and during 20</w:t>
      </w:r>
      <w:r w:rsidR="00EA7FE7">
        <w:t>1</w:t>
      </w:r>
      <w:r w:rsidR="00A0525D">
        <w:t xml:space="preserve">7-18 that </w:t>
      </w:r>
      <w:r>
        <w:t xml:space="preserve">lifted to </w:t>
      </w:r>
      <w:r w:rsidR="00992611">
        <w:t xml:space="preserve">an average of </w:t>
      </w:r>
      <w:r w:rsidR="00662332">
        <w:t>9</w:t>
      </w:r>
      <w:r w:rsidR="00703E7E">
        <w:t xml:space="preserve"> applications per month</w:t>
      </w:r>
      <w:r w:rsidR="005F35DD">
        <w:t xml:space="preserve"> </w:t>
      </w:r>
      <w:r w:rsidR="00EF1531">
        <w:t>(</w:t>
      </w:r>
      <w:r w:rsidR="005F35DD">
        <w:t>over the last</w:t>
      </w:r>
      <w:r w:rsidR="00992611">
        <w:t xml:space="preserve"> quarter</w:t>
      </w:r>
      <w:r w:rsidR="00EF1531">
        <w:t>)</w:t>
      </w:r>
      <w:r w:rsidR="00703E7E">
        <w:t xml:space="preserve">. That upward trend is a positive outcome but the </w:t>
      </w:r>
      <w:r w:rsidR="00EF1531">
        <w:t xml:space="preserve">longer term </w:t>
      </w:r>
      <w:r w:rsidR="00D40975">
        <w:t>expectations</w:t>
      </w:r>
      <w:r w:rsidR="0000123C">
        <w:t xml:space="preserve"> of </w:t>
      </w:r>
      <w:r w:rsidR="00A0525D">
        <w:t xml:space="preserve">the </w:t>
      </w:r>
      <w:r w:rsidR="0000123C">
        <w:t xml:space="preserve">working group </w:t>
      </w:r>
      <w:r w:rsidR="00A0525D">
        <w:t>is</w:t>
      </w:r>
      <w:r w:rsidR="0000123C">
        <w:t xml:space="preserve"> a</w:t>
      </w:r>
      <w:r w:rsidR="00703E7E">
        <w:t xml:space="preserve"> significantly higher growth </w:t>
      </w:r>
      <w:r w:rsidR="00A0525D">
        <w:t>in th</w:t>
      </w:r>
      <w:r w:rsidR="00EA7FE7">
        <w:t>e</w:t>
      </w:r>
      <w:r w:rsidR="00703E7E">
        <w:t xml:space="preserve"> </w:t>
      </w:r>
      <w:r w:rsidR="00A0525D">
        <w:t xml:space="preserve">number of </w:t>
      </w:r>
      <w:r w:rsidR="00703E7E">
        <w:t>applications</w:t>
      </w:r>
      <w:r w:rsidR="00A0525D">
        <w:t xml:space="preserve"> and the use of evidence by commissioner procedure</w:t>
      </w:r>
      <w:r w:rsidR="00703E7E">
        <w:t xml:space="preserve">. </w:t>
      </w:r>
    </w:p>
    <w:p w:rsidR="00E91252" w:rsidRDefault="00E91252" w:rsidP="000A3D07">
      <w:pPr>
        <w:pStyle w:val="NoSpacing"/>
        <w:ind w:left="1440"/>
      </w:pPr>
    </w:p>
    <w:p w:rsidR="00E91252" w:rsidRDefault="00E91252" w:rsidP="000A3D07">
      <w:pPr>
        <w:pStyle w:val="NoSpacing"/>
        <w:ind w:left="1440"/>
      </w:pPr>
      <w:r w:rsidRPr="00E91252">
        <w:rPr>
          <w:i/>
        </w:rPr>
        <w:t>Application Forms</w:t>
      </w:r>
      <w:r>
        <w:t xml:space="preserve"> – </w:t>
      </w:r>
      <w:r w:rsidR="009D3B04">
        <w:t>When</w:t>
      </w:r>
      <w:r w:rsidRPr="00E91252">
        <w:t xml:space="preserve"> </w:t>
      </w:r>
      <w:r>
        <w:t xml:space="preserve">the Vulnerable Witness Application forms </w:t>
      </w:r>
      <w:r w:rsidR="009D3B04">
        <w:t xml:space="preserve">are next </w:t>
      </w:r>
      <w:r w:rsidRPr="00E91252">
        <w:t xml:space="preserve">updated </w:t>
      </w:r>
      <w:r>
        <w:t xml:space="preserve">the </w:t>
      </w:r>
      <w:r w:rsidR="00B92DA7">
        <w:t xml:space="preserve">legal </w:t>
      </w:r>
      <w:r w:rsidR="009D3B04">
        <w:t>drafters</w:t>
      </w:r>
      <w:r>
        <w:t xml:space="preserve"> </w:t>
      </w:r>
      <w:r w:rsidR="009D3B04">
        <w:t>sh</w:t>
      </w:r>
      <w:r>
        <w:t xml:space="preserve">ould consider the </w:t>
      </w:r>
      <w:r w:rsidR="009D3B04">
        <w:t xml:space="preserve">usefulness </w:t>
      </w:r>
      <w:r>
        <w:t>of incorporating the checklists into those forms</w:t>
      </w:r>
      <w:r w:rsidR="009D3B04">
        <w:t>.</w:t>
      </w:r>
    </w:p>
    <w:p w:rsidR="008812FC" w:rsidRDefault="008812FC" w:rsidP="000A3D07">
      <w:pPr>
        <w:pStyle w:val="NoSpacing"/>
        <w:ind w:left="1440"/>
      </w:pPr>
    </w:p>
    <w:p w:rsidR="008812FC" w:rsidRDefault="008812FC" w:rsidP="000A3D07">
      <w:pPr>
        <w:pStyle w:val="NoSpacing"/>
        <w:ind w:left="1440"/>
      </w:pPr>
      <w:r w:rsidRPr="008812FC">
        <w:rPr>
          <w:i/>
        </w:rPr>
        <w:t>Site Familiarisation</w:t>
      </w:r>
      <w:r>
        <w:t xml:space="preserve"> – </w:t>
      </w:r>
      <w:r w:rsidR="00B92DA7">
        <w:t>Some respondents expressed</w:t>
      </w:r>
      <w:r>
        <w:t xml:space="preserve"> a view that </w:t>
      </w:r>
      <w:r w:rsidR="0087254D">
        <w:t xml:space="preserve">current </w:t>
      </w:r>
      <w:r>
        <w:t xml:space="preserve">arrangements for site familiarisation could be enhanced through the greater use of pictures </w:t>
      </w:r>
      <w:r w:rsidR="00D31087">
        <w:t>/ videos, and</w:t>
      </w:r>
      <w:r>
        <w:t xml:space="preserve"> a greater uptake of site visits.</w:t>
      </w:r>
    </w:p>
    <w:p w:rsidR="000A3D07" w:rsidRDefault="000A3D07" w:rsidP="00FF7735">
      <w:pPr>
        <w:pStyle w:val="NoSpacing"/>
      </w:pPr>
    </w:p>
    <w:p w:rsidR="005D59A6" w:rsidRDefault="003B2291" w:rsidP="000A3D07">
      <w:pPr>
        <w:pStyle w:val="NoSpacing"/>
        <w:numPr>
          <w:ilvl w:val="0"/>
          <w:numId w:val="13"/>
        </w:numPr>
      </w:pPr>
      <w:r>
        <w:t xml:space="preserve">It should be </w:t>
      </w:r>
      <w:r w:rsidR="005748D1">
        <w:t>n</w:t>
      </w:r>
      <w:r w:rsidR="005D59A6">
        <w:t>ote</w:t>
      </w:r>
      <w:r>
        <w:t>d</w:t>
      </w:r>
      <w:r w:rsidR="005748D1">
        <w:t xml:space="preserve"> that i</w:t>
      </w:r>
      <w:r w:rsidR="00FF7735">
        <w:t>n June 2018 the Scottish Government</w:t>
      </w:r>
      <w:r w:rsidR="00FF7735" w:rsidRPr="00FF7735">
        <w:t xml:space="preserve"> tabled the </w:t>
      </w:r>
      <w:r w:rsidR="00FF7735" w:rsidRPr="00EA7FE7">
        <w:rPr>
          <w:i/>
        </w:rPr>
        <w:t>Vulnerable Witnesses (Criminal Evidence) Bill</w:t>
      </w:r>
      <w:r w:rsidR="00FF7735" w:rsidRPr="00FF7735">
        <w:t xml:space="preserve"> </w:t>
      </w:r>
      <w:r w:rsidR="00D40975">
        <w:t xml:space="preserve">in </w:t>
      </w:r>
      <w:r w:rsidR="00EA7FE7">
        <w:t xml:space="preserve">the Scottish </w:t>
      </w:r>
      <w:r w:rsidR="00D40975">
        <w:t xml:space="preserve">Parliament. That </w:t>
      </w:r>
      <w:r w:rsidR="00EA7FE7">
        <w:t>B</w:t>
      </w:r>
      <w:r w:rsidR="0000123C">
        <w:t>ill, if approved, will put in place</w:t>
      </w:r>
      <w:r w:rsidR="009D3B04">
        <w:t xml:space="preserve"> the</w:t>
      </w:r>
      <w:r w:rsidR="00D40975">
        <w:t xml:space="preserve"> </w:t>
      </w:r>
      <w:r w:rsidR="0000123C">
        <w:t xml:space="preserve">legal </w:t>
      </w:r>
      <w:r w:rsidR="00D40975">
        <w:t xml:space="preserve">presumption that all children (and deemed vulnerable adults) should have their evidence pre-recorded </w:t>
      </w:r>
      <w:r w:rsidR="00EA7FE7">
        <w:t xml:space="preserve">in order that </w:t>
      </w:r>
      <w:r w:rsidR="00D40975">
        <w:t xml:space="preserve">they do not have to appear in court. </w:t>
      </w:r>
    </w:p>
    <w:p w:rsidR="005D59A6" w:rsidRDefault="005D59A6" w:rsidP="00FF7735">
      <w:pPr>
        <w:pStyle w:val="NoSpacing"/>
      </w:pPr>
    </w:p>
    <w:p w:rsidR="0000123C" w:rsidRDefault="00D40975" w:rsidP="000A3D07">
      <w:pPr>
        <w:pStyle w:val="NoSpacing"/>
        <w:numPr>
          <w:ilvl w:val="0"/>
          <w:numId w:val="13"/>
        </w:numPr>
      </w:pPr>
      <w:r>
        <w:t xml:space="preserve">Whilst that bill </w:t>
      </w:r>
      <w:r w:rsidR="0000123C">
        <w:t xml:space="preserve">will take </w:t>
      </w:r>
      <w:r>
        <w:t xml:space="preserve">time to progress through </w:t>
      </w:r>
      <w:r w:rsidR="003B2291">
        <w:t>the Scottish P</w:t>
      </w:r>
      <w:r>
        <w:t>arliament it provide</w:t>
      </w:r>
      <w:r w:rsidR="003B2291">
        <w:t>s a</w:t>
      </w:r>
      <w:r w:rsidR="00EA7FE7">
        <w:t xml:space="preserve"> very</w:t>
      </w:r>
      <w:r w:rsidR="003B2291">
        <w:t xml:space="preserve"> clear message</w:t>
      </w:r>
      <w:r>
        <w:t xml:space="preserve"> </w:t>
      </w:r>
      <w:r w:rsidR="003B2291">
        <w:t>regarding</w:t>
      </w:r>
      <w:r>
        <w:t xml:space="preserve"> </w:t>
      </w:r>
      <w:r w:rsidR="003B2291">
        <w:t>the Scottish G</w:t>
      </w:r>
      <w:r w:rsidR="00EA7FE7">
        <w:t>overnments’</w:t>
      </w:r>
      <w:r w:rsidR="0000123C">
        <w:t xml:space="preserve"> desired </w:t>
      </w:r>
      <w:r>
        <w:t xml:space="preserve">direction of travel and </w:t>
      </w:r>
      <w:r w:rsidR="00EA7FE7">
        <w:t xml:space="preserve">it </w:t>
      </w:r>
      <w:r>
        <w:t xml:space="preserve">is likely </w:t>
      </w:r>
      <w:r w:rsidR="00D31087">
        <w:t xml:space="preserve">to provide </w:t>
      </w:r>
      <w:r>
        <w:t>added impetus for growth as we progress through 2018-19</w:t>
      </w:r>
      <w:r w:rsidR="0000123C">
        <w:t>.</w:t>
      </w:r>
    </w:p>
    <w:p w:rsidR="0000123C" w:rsidRDefault="0000123C" w:rsidP="00FF7735">
      <w:pPr>
        <w:pStyle w:val="NoSpacing"/>
      </w:pPr>
    </w:p>
    <w:p w:rsidR="00EA7FE7" w:rsidRDefault="00EA7FE7" w:rsidP="00FF7735">
      <w:pPr>
        <w:pStyle w:val="NoSpacing"/>
      </w:pPr>
    </w:p>
    <w:p w:rsidR="005748D1" w:rsidRDefault="005748D1" w:rsidP="00FF7735">
      <w:pPr>
        <w:pStyle w:val="NoSpacing"/>
      </w:pPr>
    </w:p>
    <w:p w:rsidR="0000123C" w:rsidRPr="00EA7FE7" w:rsidRDefault="0000123C" w:rsidP="00FF7735">
      <w:pPr>
        <w:pStyle w:val="NoSpacing"/>
        <w:rPr>
          <w:b/>
          <w:color w:val="365F91" w:themeColor="accent1" w:themeShade="BF"/>
        </w:rPr>
      </w:pPr>
      <w:r w:rsidRPr="00EA7FE7">
        <w:rPr>
          <w:b/>
          <w:color w:val="365F91" w:themeColor="accent1" w:themeShade="BF"/>
        </w:rPr>
        <w:t>RECOMMENDATIONS</w:t>
      </w:r>
    </w:p>
    <w:p w:rsidR="008812FC" w:rsidRDefault="008812FC" w:rsidP="00FF7735">
      <w:pPr>
        <w:pStyle w:val="NoSpacing"/>
      </w:pPr>
    </w:p>
    <w:p w:rsidR="008812FC" w:rsidRDefault="0000123C" w:rsidP="000A3D07">
      <w:pPr>
        <w:pStyle w:val="NoSpacing"/>
        <w:numPr>
          <w:ilvl w:val="0"/>
          <w:numId w:val="13"/>
        </w:numPr>
      </w:pPr>
      <w:r>
        <w:t>It is recommended that</w:t>
      </w:r>
      <w:r w:rsidR="008812FC">
        <w:t>:</w:t>
      </w:r>
    </w:p>
    <w:p w:rsidR="008812FC" w:rsidRDefault="008812FC" w:rsidP="00FF7735">
      <w:pPr>
        <w:pStyle w:val="NoSpacing"/>
      </w:pPr>
    </w:p>
    <w:p w:rsidR="008812FC" w:rsidRDefault="00D31087" w:rsidP="008812FC">
      <w:pPr>
        <w:pStyle w:val="NoSpacing"/>
        <w:numPr>
          <w:ilvl w:val="0"/>
          <w:numId w:val="11"/>
        </w:numPr>
      </w:pPr>
      <w:r>
        <w:t>Within individual cases t</w:t>
      </w:r>
      <w:r w:rsidR="008812FC">
        <w:t>he judici</w:t>
      </w:r>
      <w:r w:rsidR="002D2D6A">
        <w:t xml:space="preserve">ary </w:t>
      </w:r>
      <w:r>
        <w:t>c</w:t>
      </w:r>
      <w:r w:rsidR="002D2D6A">
        <w:t xml:space="preserve">ould </w:t>
      </w:r>
      <w:r w:rsidR="0066493B">
        <w:t xml:space="preserve">routinely </w:t>
      </w:r>
      <w:r w:rsidR="002D2D6A">
        <w:t xml:space="preserve">challenge </w:t>
      </w:r>
      <w:r w:rsidR="008812FC">
        <w:t xml:space="preserve">why the taking of </w:t>
      </w:r>
      <w:r w:rsidR="002D2D6A" w:rsidRPr="002D2D6A">
        <w:rPr>
          <w:i/>
        </w:rPr>
        <w:t>E</w:t>
      </w:r>
      <w:r w:rsidR="008812FC" w:rsidRPr="002D2D6A">
        <w:rPr>
          <w:i/>
        </w:rPr>
        <w:t xml:space="preserve">vidence by </w:t>
      </w:r>
      <w:r w:rsidR="002D2D6A">
        <w:rPr>
          <w:i/>
        </w:rPr>
        <w:t>C</w:t>
      </w:r>
      <w:r w:rsidR="008812FC" w:rsidRPr="002D2D6A">
        <w:rPr>
          <w:i/>
        </w:rPr>
        <w:t>ommissioner</w:t>
      </w:r>
      <w:r w:rsidR="0066493B">
        <w:t xml:space="preserve"> has not been</w:t>
      </w:r>
      <w:r w:rsidR="002D2D6A">
        <w:t xml:space="preserve"> sought </w:t>
      </w:r>
      <w:r>
        <w:t>if a</w:t>
      </w:r>
      <w:r w:rsidR="0066493B">
        <w:t>ny</w:t>
      </w:r>
      <w:r>
        <w:t xml:space="preserve"> child witness is</w:t>
      </w:r>
      <w:r w:rsidR="002D2D6A">
        <w:t xml:space="preserve"> involved</w:t>
      </w:r>
    </w:p>
    <w:p w:rsidR="002D2D6A" w:rsidRDefault="002D2D6A" w:rsidP="002D2D6A">
      <w:pPr>
        <w:pStyle w:val="NoSpacing"/>
        <w:ind w:left="780"/>
      </w:pPr>
    </w:p>
    <w:p w:rsidR="00EA7FE7" w:rsidRDefault="003B2291" w:rsidP="008812FC">
      <w:pPr>
        <w:pStyle w:val="NoSpacing"/>
        <w:numPr>
          <w:ilvl w:val="0"/>
          <w:numId w:val="11"/>
        </w:numPr>
      </w:pPr>
      <w:r>
        <w:t>The</w:t>
      </w:r>
      <w:r w:rsidR="002D2D6A">
        <w:t xml:space="preserve"> </w:t>
      </w:r>
      <w:r w:rsidR="005D59A6">
        <w:t>2</w:t>
      </w:r>
      <w:r w:rsidR="005D59A6" w:rsidRPr="005D59A6">
        <w:rPr>
          <w:vertAlign w:val="superscript"/>
        </w:rPr>
        <w:t>nd</w:t>
      </w:r>
      <w:r w:rsidR="005D59A6">
        <w:t xml:space="preserve"> Evaluation Report </w:t>
      </w:r>
      <w:r w:rsidR="0000123C">
        <w:t xml:space="preserve">scheduled for publication in late 2018 </w:t>
      </w:r>
      <w:r>
        <w:t>will</w:t>
      </w:r>
      <w:r w:rsidR="00EA7FE7">
        <w:t xml:space="preserve"> </w:t>
      </w:r>
      <w:r w:rsidR="002D2D6A">
        <w:t>consider</w:t>
      </w:r>
      <w:r w:rsidR="00EA7FE7">
        <w:t>:</w:t>
      </w:r>
    </w:p>
    <w:p w:rsidR="00556E25" w:rsidRDefault="002D2D6A" w:rsidP="00B51734">
      <w:pPr>
        <w:pStyle w:val="NoSpacing"/>
        <w:numPr>
          <w:ilvl w:val="0"/>
          <w:numId w:val="12"/>
        </w:numPr>
        <w:ind w:left="1800"/>
      </w:pPr>
      <w:r>
        <w:t>The</w:t>
      </w:r>
      <w:r w:rsidR="00386704">
        <w:t xml:space="preserve"> operational perspective</w:t>
      </w:r>
      <w:r w:rsidR="00EA7FE7">
        <w:t xml:space="preserve"> on </w:t>
      </w:r>
      <w:r w:rsidR="006E5F3C">
        <w:t>the capabilities within</w:t>
      </w:r>
      <w:r w:rsidR="00EA7FE7">
        <w:t xml:space="preserve"> </w:t>
      </w:r>
      <w:r>
        <w:t xml:space="preserve">the justice system </w:t>
      </w:r>
      <w:r w:rsidR="00386704">
        <w:t xml:space="preserve">to </w:t>
      </w:r>
      <w:r w:rsidR="0066493B">
        <w:t>respond to</w:t>
      </w:r>
      <w:r w:rsidR="00EA7FE7">
        <w:t xml:space="preserve"> </w:t>
      </w:r>
      <w:r>
        <w:t xml:space="preserve">the </w:t>
      </w:r>
      <w:r w:rsidR="00D31087">
        <w:t xml:space="preserve">increasing </w:t>
      </w:r>
      <w:r w:rsidR="00EA7FE7">
        <w:t xml:space="preserve">growth in </w:t>
      </w:r>
      <w:r w:rsidR="003B2291">
        <w:t xml:space="preserve">evidence by commissioner </w:t>
      </w:r>
      <w:r w:rsidR="00EA7FE7">
        <w:t>applications</w:t>
      </w:r>
      <w:r w:rsidRPr="002D2D6A">
        <w:t xml:space="preserve"> </w:t>
      </w:r>
      <w:r w:rsidR="00D31087">
        <w:t xml:space="preserve">to </w:t>
      </w:r>
      <w:r>
        <w:t>the High Court</w:t>
      </w:r>
      <w:r w:rsidR="00B51734">
        <w:t>.</w:t>
      </w:r>
    </w:p>
    <w:p w:rsidR="00556E25" w:rsidRDefault="00556E25" w:rsidP="00556E25">
      <w:pPr>
        <w:pStyle w:val="NoSpacing"/>
      </w:pPr>
    </w:p>
    <w:p w:rsidR="005748D1" w:rsidRDefault="005748D1" w:rsidP="00556E25">
      <w:pPr>
        <w:pStyle w:val="NoSpacing"/>
      </w:pPr>
    </w:p>
    <w:p w:rsidR="005748D1" w:rsidRDefault="005748D1" w:rsidP="00556E25">
      <w:pPr>
        <w:pStyle w:val="NoSpacing"/>
      </w:pPr>
    </w:p>
    <w:p w:rsidR="005748D1" w:rsidRDefault="005748D1" w:rsidP="00556E25">
      <w:pPr>
        <w:pStyle w:val="NoSpacing"/>
      </w:pPr>
    </w:p>
    <w:p w:rsidR="005748D1" w:rsidRPr="005748D1" w:rsidRDefault="005748D1" w:rsidP="00556E25">
      <w:pPr>
        <w:pStyle w:val="NoSpacing"/>
        <w:rPr>
          <w:i/>
        </w:rPr>
      </w:pPr>
      <w:r w:rsidRPr="005748D1">
        <w:rPr>
          <w:i/>
        </w:rPr>
        <w:t>Scottish Courts and Tribunals Service</w:t>
      </w:r>
    </w:p>
    <w:p w:rsidR="00346C89" w:rsidRDefault="00442CC0" w:rsidP="00556E25">
      <w:pPr>
        <w:pStyle w:val="NoSpacing"/>
        <w:rPr>
          <w:b/>
        </w:rPr>
      </w:pPr>
      <w:r>
        <w:rPr>
          <w:i/>
        </w:rPr>
        <w:t>September</w:t>
      </w:r>
      <w:r w:rsidR="005748D1" w:rsidRPr="005748D1">
        <w:rPr>
          <w:i/>
        </w:rPr>
        <w:t xml:space="preserve"> 2018</w:t>
      </w:r>
      <w:r w:rsidR="00346C89">
        <w:br w:type="page"/>
      </w:r>
      <w:r w:rsidR="00F4721A" w:rsidRPr="00F4721A">
        <w:rPr>
          <w:b/>
        </w:rPr>
        <w:lastRenderedPageBreak/>
        <w:t>APPENDIX 1 – THE PRACTICE NOTE AS ISSUED</w:t>
      </w:r>
    </w:p>
    <w:p w:rsidR="00F4721A" w:rsidRDefault="00F4721A" w:rsidP="00F4721A">
      <w:pPr>
        <w:pStyle w:val="NoSpacing"/>
        <w:rPr>
          <w:b/>
        </w:rPr>
      </w:pPr>
    </w:p>
    <w:p w:rsidR="00F4721A" w:rsidRDefault="00F4721A" w:rsidP="00F4721A">
      <w:pPr>
        <w:pStyle w:val="NoSpacing"/>
        <w:rPr>
          <w:b/>
        </w:rPr>
      </w:pPr>
    </w:p>
    <w:p w:rsidR="00F4721A" w:rsidRPr="00F4721A" w:rsidRDefault="00F4721A" w:rsidP="00F4721A">
      <w:pPr>
        <w:pStyle w:val="NoSpacing"/>
        <w:rPr>
          <w:b/>
        </w:rPr>
      </w:pPr>
    </w:p>
    <w:p w:rsidR="00346C89" w:rsidRPr="00346C89" w:rsidRDefault="00346C89" w:rsidP="00346C89">
      <w:pPr>
        <w:keepNext/>
        <w:spacing w:before="240" w:after="60" w:line="240" w:lineRule="auto"/>
        <w:ind w:left="2492" w:right="2489"/>
        <w:jc w:val="center"/>
        <w:outlineLvl w:val="0"/>
        <w:rPr>
          <w:rFonts w:ascii="Palatino Linotype" w:eastAsia="Palatino Linotype" w:hAnsi="Palatino Linotype" w:cs="Palatino Linotype"/>
          <w:b/>
          <w:bCs/>
          <w:sz w:val="24"/>
          <w:szCs w:val="24"/>
          <w:lang w:val="en-US" w:eastAsia="en-US"/>
        </w:rPr>
      </w:pPr>
      <w:r w:rsidRPr="00346C89">
        <w:rPr>
          <w:rFonts w:ascii="Palatino Linotype" w:eastAsia="Palatino Linotype" w:hAnsi="Palatino Linotype" w:cs="Palatino Linotype"/>
          <w:b/>
          <w:bCs/>
          <w:sz w:val="24"/>
          <w:szCs w:val="24"/>
          <w:lang w:val="en-US" w:eastAsia="en-US"/>
        </w:rPr>
        <w:t>HIGH COURT OF JUSTICIARY PRACTICE NOTE</w:t>
      </w:r>
    </w:p>
    <w:p w:rsidR="00346C89" w:rsidRPr="00346C89" w:rsidRDefault="00346C89" w:rsidP="00346C89">
      <w:pPr>
        <w:widowControl w:val="0"/>
        <w:autoSpaceDE w:val="0"/>
        <w:autoSpaceDN w:val="0"/>
        <w:spacing w:before="1" w:after="0" w:line="240" w:lineRule="auto"/>
        <w:ind w:left="2492" w:right="2488"/>
        <w:jc w:val="center"/>
        <w:rPr>
          <w:rFonts w:ascii="Palatino Linotype" w:eastAsia="Palatino Linotype" w:hAnsi="Palatino Linotype" w:cs="Palatino Linotype"/>
          <w:b/>
          <w:sz w:val="24"/>
          <w:lang w:val="en-US" w:eastAsia="en-US"/>
        </w:rPr>
      </w:pPr>
      <w:r w:rsidRPr="00346C89">
        <w:rPr>
          <w:rFonts w:ascii="Palatino Linotype" w:eastAsia="Palatino Linotype" w:hAnsi="Palatino Linotype" w:cs="Palatino Linotype"/>
          <w:b/>
          <w:sz w:val="24"/>
          <w:lang w:val="en-US" w:eastAsia="en-US"/>
        </w:rPr>
        <w:t>No. 1 of 2017</w:t>
      </w: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b/>
          <w:sz w:val="24"/>
          <w:szCs w:val="24"/>
          <w:lang w:val="en-US" w:eastAsia="en-US"/>
        </w:rPr>
      </w:pPr>
    </w:p>
    <w:p w:rsidR="00346C89" w:rsidRPr="00346C89" w:rsidRDefault="00346C89" w:rsidP="00346C89">
      <w:pPr>
        <w:widowControl w:val="0"/>
        <w:autoSpaceDE w:val="0"/>
        <w:autoSpaceDN w:val="0"/>
        <w:spacing w:after="0" w:line="240" w:lineRule="auto"/>
        <w:ind w:left="794" w:right="794"/>
        <w:jc w:val="center"/>
        <w:rPr>
          <w:rFonts w:ascii="Palatino Linotype" w:eastAsia="Palatino Linotype" w:hAnsi="Palatino Linotype" w:cs="Palatino Linotype"/>
          <w:b/>
          <w:sz w:val="24"/>
          <w:lang w:val="en-US" w:eastAsia="en-US"/>
        </w:rPr>
      </w:pPr>
      <w:r w:rsidRPr="00346C89">
        <w:rPr>
          <w:rFonts w:ascii="Palatino Linotype" w:eastAsia="Palatino Linotype" w:hAnsi="Palatino Linotype" w:cs="Palatino Linotype"/>
          <w:b/>
          <w:sz w:val="24"/>
          <w:lang w:val="en-US" w:eastAsia="en-US"/>
        </w:rPr>
        <w:t>TAKING OF EVIDENCE OF A VULNERABLE WITNESS BY A COMMISSIONER</w:t>
      </w: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b/>
          <w:sz w:val="24"/>
          <w:szCs w:val="24"/>
          <w:lang w:val="en-US" w:eastAsia="en-US"/>
        </w:rPr>
      </w:pPr>
    </w:p>
    <w:p w:rsidR="00346C89" w:rsidRPr="00346C89" w:rsidRDefault="00346C89" w:rsidP="00346C89">
      <w:pPr>
        <w:widowControl w:val="0"/>
        <w:autoSpaceDE w:val="0"/>
        <w:autoSpaceDN w:val="0"/>
        <w:spacing w:after="0" w:line="240" w:lineRule="auto"/>
        <w:ind w:left="120"/>
        <w:rPr>
          <w:rFonts w:ascii="Palatino Linotype" w:eastAsia="Palatino Linotype" w:hAnsi="Palatino Linotype" w:cs="Palatino Linotype"/>
          <w:b/>
          <w:sz w:val="24"/>
          <w:lang w:val="en-US" w:eastAsia="en-US"/>
        </w:rPr>
      </w:pPr>
      <w:r w:rsidRPr="00346C89">
        <w:rPr>
          <w:rFonts w:ascii="Palatino Linotype" w:eastAsia="Palatino Linotype" w:hAnsi="Palatino Linotype" w:cs="Palatino Linotype"/>
          <w:b/>
          <w:sz w:val="24"/>
          <w:lang w:val="en-US" w:eastAsia="en-US"/>
        </w:rPr>
        <w:t>Introduction</w:t>
      </w:r>
    </w:p>
    <w:p w:rsidR="00346C89" w:rsidRPr="00346C89" w:rsidRDefault="00346C89" w:rsidP="00346C89">
      <w:pPr>
        <w:widowControl w:val="0"/>
        <w:autoSpaceDE w:val="0"/>
        <w:autoSpaceDN w:val="0"/>
        <w:spacing w:before="2" w:after="0" w:line="240" w:lineRule="auto"/>
        <w:rPr>
          <w:rFonts w:ascii="Palatino Linotype" w:eastAsia="Palatino Linotype" w:hAnsi="Palatino Linotype" w:cs="Palatino Linotype"/>
          <w:b/>
          <w:sz w:val="24"/>
          <w:szCs w:val="24"/>
          <w:lang w:val="en-US" w:eastAsia="en-US"/>
        </w:rPr>
      </w:pPr>
    </w:p>
    <w:p w:rsidR="00346C89" w:rsidRPr="00346C89" w:rsidRDefault="00346C89" w:rsidP="00346C89">
      <w:pPr>
        <w:widowControl w:val="0"/>
        <w:numPr>
          <w:ilvl w:val="0"/>
          <w:numId w:val="6"/>
        </w:numPr>
        <w:tabs>
          <w:tab w:val="left" w:pos="841"/>
        </w:tabs>
        <w:autoSpaceDE w:val="0"/>
        <w:autoSpaceDN w:val="0"/>
        <w:spacing w:after="0" w:line="240" w:lineRule="auto"/>
        <w:ind w:right="120"/>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This Practice Note has effect from 8 May 2017. It replaces Practice Note No. 3 of</w:t>
      </w:r>
      <w:r w:rsidRPr="00346C89">
        <w:rPr>
          <w:rFonts w:ascii="Palatino Linotype" w:eastAsia="Palatino Linotype" w:hAnsi="Palatino Linotype" w:cs="Palatino Linotype"/>
          <w:spacing w:val="-1"/>
          <w:sz w:val="24"/>
          <w:lang w:val="en-US" w:eastAsia="en-US"/>
        </w:rPr>
        <w:t xml:space="preserve"> </w:t>
      </w:r>
      <w:r w:rsidRPr="00346C89">
        <w:rPr>
          <w:rFonts w:ascii="Palatino Linotype" w:eastAsia="Palatino Linotype" w:hAnsi="Palatino Linotype" w:cs="Palatino Linotype"/>
          <w:sz w:val="24"/>
          <w:lang w:val="en-US" w:eastAsia="en-US"/>
        </w:rPr>
        <w:t>2005.</w:t>
      </w: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24"/>
          <w:szCs w:val="24"/>
          <w:lang w:val="en-US" w:eastAsia="en-US"/>
        </w:rPr>
      </w:pPr>
    </w:p>
    <w:p w:rsidR="00346C89" w:rsidRPr="00346C89" w:rsidRDefault="00346C89" w:rsidP="00346C89">
      <w:pPr>
        <w:widowControl w:val="0"/>
        <w:numPr>
          <w:ilvl w:val="0"/>
          <w:numId w:val="6"/>
        </w:numPr>
        <w:tabs>
          <w:tab w:val="left" w:pos="841"/>
        </w:tabs>
        <w:autoSpaceDE w:val="0"/>
        <w:autoSpaceDN w:val="0"/>
        <w:spacing w:after="0" w:line="240" w:lineRule="auto"/>
        <w:ind w:right="117"/>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Statutory provision for the availability of special measures for vulnerable witnesses has been a feature of the criminal courts for more than a decade. In spite of that, the day to day practical application of these measures can sometimes leave much to be desired. This is particularly the case with the taking of the evidence of a vulnerable witness by a</w:t>
      </w:r>
      <w:r w:rsidRPr="00346C89">
        <w:rPr>
          <w:rFonts w:ascii="Palatino Linotype" w:eastAsia="Palatino Linotype" w:hAnsi="Palatino Linotype" w:cs="Palatino Linotype"/>
          <w:spacing w:val="-6"/>
          <w:sz w:val="24"/>
          <w:lang w:val="en-US" w:eastAsia="en-US"/>
        </w:rPr>
        <w:t xml:space="preserve"> </w:t>
      </w:r>
      <w:r w:rsidRPr="00346C89">
        <w:rPr>
          <w:rFonts w:ascii="Palatino Linotype" w:eastAsia="Palatino Linotype" w:hAnsi="Palatino Linotype" w:cs="Palatino Linotype"/>
          <w:sz w:val="24"/>
          <w:lang w:val="en-US" w:eastAsia="en-US"/>
        </w:rPr>
        <w:t>commissioner.</w:t>
      </w:r>
    </w:p>
    <w:p w:rsidR="00346C89" w:rsidRPr="00346C89" w:rsidRDefault="00346C89" w:rsidP="00346C89">
      <w:pPr>
        <w:widowControl w:val="0"/>
        <w:autoSpaceDE w:val="0"/>
        <w:autoSpaceDN w:val="0"/>
        <w:spacing w:before="13" w:after="0" w:line="240" w:lineRule="auto"/>
        <w:rPr>
          <w:rFonts w:ascii="Palatino Linotype" w:eastAsia="Palatino Linotype" w:hAnsi="Palatino Linotype" w:cs="Palatino Linotype"/>
          <w:sz w:val="23"/>
          <w:szCs w:val="24"/>
          <w:lang w:val="en-US" w:eastAsia="en-US"/>
        </w:rPr>
      </w:pPr>
    </w:p>
    <w:p w:rsidR="00346C89" w:rsidRPr="00346C89" w:rsidRDefault="00346C89" w:rsidP="00346C89">
      <w:pPr>
        <w:widowControl w:val="0"/>
        <w:numPr>
          <w:ilvl w:val="0"/>
          <w:numId w:val="6"/>
        </w:numPr>
        <w:tabs>
          <w:tab w:val="left" w:pos="841"/>
        </w:tabs>
        <w:autoSpaceDE w:val="0"/>
        <w:autoSpaceDN w:val="0"/>
        <w:spacing w:after="0" w:line="240" w:lineRule="auto"/>
        <w:ind w:right="116"/>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most common deficiency in cases where there is a child witness, a deemed vulnerable witness or other vulnerable witness is a failure by the parties (both Crown and defence) to address their minds at a suitably early stage to the question of whether a commission is necessary for that witness. Early conduct of a commission has benefits not only in the earlier capture of the evidence but also in giving more time for addressing issues such as editing and</w:t>
      </w:r>
      <w:r w:rsidRPr="00346C89">
        <w:rPr>
          <w:rFonts w:ascii="Palatino Linotype" w:eastAsia="Palatino Linotype" w:hAnsi="Palatino Linotype" w:cs="Palatino Linotype"/>
          <w:spacing w:val="-21"/>
          <w:sz w:val="24"/>
          <w:lang w:val="en-US" w:eastAsia="en-US"/>
        </w:rPr>
        <w:t xml:space="preserve"> </w:t>
      </w:r>
      <w:r w:rsidRPr="00346C89">
        <w:rPr>
          <w:rFonts w:ascii="Palatino Linotype" w:eastAsia="Palatino Linotype" w:hAnsi="Palatino Linotype" w:cs="Palatino Linotype"/>
          <w:sz w:val="24"/>
          <w:lang w:val="en-US" w:eastAsia="en-US"/>
        </w:rPr>
        <w:t>admissibility.</w:t>
      </w:r>
    </w:p>
    <w:p w:rsidR="00346C89" w:rsidRPr="00346C89" w:rsidRDefault="00346C89" w:rsidP="00346C89">
      <w:pPr>
        <w:widowControl w:val="0"/>
        <w:autoSpaceDE w:val="0"/>
        <w:autoSpaceDN w:val="0"/>
        <w:spacing w:before="7" w:after="0" w:line="240" w:lineRule="auto"/>
        <w:rPr>
          <w:rFonts w:ascii="Palatino Linotype" w:eastAsia="Palatino Linotype" w:hAnsi="Palatino Linotype" w:cs="Palatino Linotype"/>
          <w:sz w:val="23"/>
          <w:szCs w:val="24"/>
          <w:lang w:val="en-US" w:eastAsia="en-US"/>
        </w:rPr>
      </w:pPr>
    </w:p>
    <w:p w:rsidR="00346C89" w:rsidRPr="00346C89" w:rsidRDefault="00346C89" w:rsidP="00346C89">
      <w:pPr>
        <w:widowControl w:val="0"/>
        <w:numPr>
          <w:ilvl w:val="0"/>
          <w:numId w:val="6"/>
        </w:numPr>
        <w:tabs>
          <w:tab w:val="left" w:pos="840"/>
          <w:tab w:val="left" w:pos="841"/>
        </w:tabs>
        <w:autoSpaceDE w:val="0"/>
        <w:autoSpaceDN w:val="0"/>
        <w:spacing w:before="1" w:after="0" w:line="322" w:lineRule="exact"/>
        <w:ind w:left="900" w:right="1388" w:hanging="780"/>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Practitioners can find useful information to bear in mind at: </w:t>
      </w:r>
      <w:hyperlink r:id="rId10">
        <w:r w:rsidRPr="00346C89">
          <w:rPr>
            <w:rFonts w:ascii="Palatino Linotype" w:eastAsia="Palatino Linotype" w:hAnsi="Palatino Linotype" w:cs="Palatino Linotype"/>
            <w:color w:val="0000FF"/>
            <w:sz w:val="24"/>
            <w:u w:val="single" w:color="0000FF"/>
            <w:lang w:val="en-US" w:eastAsia="en-US"/>
          </w:rPr>
          <w:t>http://www.theadvocatesgateway.org/</w:t>
        </w:r>
      </w:hyperlink>
    </w:p>
    <w:p w:rsidR="00346C89" w:rsidRPr="00346C89" w:rsidRDefault="00346C89" w:rsidP="00346C89">
      <w:pPr>
        <w:widowControl w:val="0"/>
        <w:autoSpaceDE w:val="0"/>
        <w:autoSpaceDN w:val="0"/>
        <w:spacing w:before="11" w:after="0" w:line="240" w:lineRule="auto"/>
        <w:rPr>
          <w:rFonts w:ascii="Palatino Linotype" w:eastAsia="Palatino Linotype" w:hAnsi="Palatino Linotype" w:cs="Palatino Linotype"/>
          <w:szCs w:val="24"/>
          <w:lang w:val="en-US" w:eastAsia="en-US"/>
        </w:rPr>
      </w:pPr>
    </w:p>
    <w:p w:rsidR="00346C89" w:rsidRPr="00346C89" w:rsidRDefault="00346C89" w:rsidP="00346C89">
      <w:pPr>
        <w:widowControl w:val="0"/>
        <w:numPr>
          <w:ilvl w:val="0"/>
          <w:numId w:val="6"/>
        </w:numPr>
        <w:tabs>
          <w:tab w:val="left" w:pos="840"/>
          <w:tab w:val="left" w:pos="841"/>
        </w:tabs>
        <w:autoSpaceDE w:val="0"/>
        <w:autoSpaceDN w:val="0"/>
        <w:spacing w:before="24"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purpose of this Practice Note therefore is to give guidance as</w:t>
      </w:r>
      <w:r w:rsidRPr="00346C89">
        <w:rPr>
          <w:rFonts w:ascii="Palatino Linotype" w:eastAsia="Palatino Linotype" w:hAnsi="Palatino Linotype" w:cs="Palatino Linotype"/>
          <w:spacing w:val="-18"/>
          <w:sz w:val="24"/>
          <w:lang w:val="en-US" w:eastAsia="en-US"/>
        </w:rPr>
        <w:t xml:space="preserve"> </w:t>
      </w:r>
      <w:r w:rsidRPr="00346C89">
        <w:rPr>
          <w:rFonts w:ascii="Palatino Linotype" w:eastAsia="Palatino Linotype" w:hAnsi="Palatino Linotype" w:cs="Palatino Linotype"/>
          <w:sz w:val="24"/>
          <w:lang w:val="en-US" w:eastAsia="en-US"/>
        </w:rPr>
        <w:t>to—</w:t>
      </w: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24"/>
          <w:szCs w:val="24"/>
          <w:lang w:val="en-US" w:eastAsia="en-US"/>
        </w:rPr>
      </w:pPr>
    </w:p>
    <w:p w:rsidR="00346C89" w:rsidRPr="00346C89" w:rsidRDefault="00346C89" w:rsidP="00346C89">
      <w:pPr>
        <w:widowControl w:val="0"/>
        <w:numPr>
          <w:ilvl w:val="1"/>
          <w:numId w:val="6"/>
        </w:numPr>
        <w:tabs>
          <w:tab w:val="left" w:pos="1561"/>
        </w:tabs>
        <w:autoSpaceDE w:val="0"/>
        <w:autoSpaceDN w:val="0"/>
        <w:spacing w:after="0" w:line="240" w:lineRule="auto"/>
        <w:ind w:right="121"/>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when practitioners should consider whether a commission is required;</w:t>
      </w:r>
    </w:p>
    <w:p w:rsidR="00346C89" w:rsidRPr="00346C89" w:rsidRDefault="00346C89" w:rsidP="00346C89">
      <w:pPr>
        <w:widowControl w:val="0"/>
        <w:numPr>
          <w:ilvl w:val="1"/>
          <w:numId w:val="6"/>
        </w:numPr>
        <w:tabs>
          <w:tab w:val="left" w:pos="1561"/>
        </w:tabs>
        <w:autoSpaceDE w:val="0"/>
        <w:autoSpaceDN w:val="0"/>
        <w:spacing w:before="120" w:after="0" w:line="240" w:lineRule="auto"/>
        <w:ind w:right="119"/>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what practitioners must do in preparation for seeking authorisation to take the evidence of a vulnerable witness by a commissioner;</w:t>
      </w:r>
    </w:p>
    <w:p w:rsidR="00346C89" w:rsidRPr="00346C89" w:rsidRDefault="00346C89" w:rsidP="00346C89">
      <w:pPr>
        <w:widowControl w:val="0"/>
        <w:numPr>
          <w:ilvl w:val="1"/>
          <w:numId w:val="6"/>
        </w:numPr>
        <w:tabs>
          <w:tab w:val="left" w:pos="1561"/>
        </w:tabs>
        <w:autoSpaceDE w:val="0"/>
        <w:autoSpaceDN w:val="0"/>
        <w:spacing w:before="120" w:after="0" w:line="240" w:lineRule="auto"/>
        <w:ind w:right="117"/>
        <w:jc w:val="both"/>
        <w:rPr>
          <w:rFonts w:ascii="Palatino Linotype" w:eastAsia="Palatino Linotype" w:hAnsi="Palatino Linotype" w:cs="Palatino Linotype"/>
          <w:sz w:val="24"/>
          <w:lang w:val="en-US" w:eastAsia="en-US"/>
        </w:rPr>
      </w:pPr>
      <w:proofErr w:type="gramStart"/>
      <w:r w:rsidRPr="00346C89">
        <w:rPr>
          <w:rFonts w:ascii="Palatino Linotype" w:eastAsia="Palatino Linotype" w:hAnsi="Palatino Linotype" w:cs="Palatino Linotype"/>
          <w:sz w:val="24"/>
          <w:lang w:val="en-US" w:eastAsia="en-US"/>
        </w:rPr>
        <w:t>what</w:t>
      </w:r>
      <w:proofErr w:type="gramEnd"/>
      <w:r w:rsidRPr="00346C89">
        <w:rPr>
          <w:rFonts w:ascii="Palatino Linotype" w:eastAsia="Palatino Linotype" w:hAnsi="Palatino Linotype" w:cs="Palatino Linotype"/>
          <w:sz w:val="24"/>
          <w:lang w:val="en-US" w:eastAsia="en-US"/>
        </w:rPr>
        <w:t xml:space="preserve"> issues the court will expect practitioners to address in </w:t>
      </w:r>
      <w:r w:rsidRPr="00346C89">
        <w:rPr>
          <w:rFonts w:ascii="Palatino Linotype" w:eastAsia="Palatino Linotype" w:hAnsi="Palatino Linotype" w:cs="Palatino Linotype"/>
          <w:spacing w:val="3"/>
          <w:sz w:val="24"/>
          <w:lang w:val="en-US" w:eastAsia="en-US"/>
        </w:rPr>
        <w:t xml:space="preserve">an </w:t>
      </w:r>
      <w:r w:rsidRPr="00346C89">
        <w:rPr>
          <w:rFonts w:ascii="Palatino Linotype" w:eastAsia="Palatino Linotype" w:hAnsi="Palatino Linotype" w:cs="Palatino Linotype"/>
          <w:sz w:val="24"/>
          <w:lang w:val="en-US" w:eastAsia="en-US"/>
        </w:rPr>
        <w:t>application in relation to taking of evidence by a</w:t>
      </w:r>
      <w:r w:rsidRPr="00346C89">
        <w:rPr>
          <w:rFonts w:ascii="Palatino Linotype" w:eastAsia="Palatino Linotype" w:hAnsi="Palatino Linotype" w:cs="Palatino Linotype"/>
          <w:spacing w:val="-15"/>
          <w:sz w:val="24"/>
          <w:lang w:val="en-US" w:eastAsia="en-US"/>
        </w:rPr>
        <w:t xml:space="preserve"> </w:t>
      </w:r>
      <w:r w:rsidRPr="00346C89">
        <w:rPr>
          <w:rFonts w:ascii="Palatino Linotype" w:eastAsia="Palatino Linotype" w:hAnsi="Palatino Linotype" w:cs="Palatino Linotype"/>
          <w:sz w:val="24"/>
          <w:lang w:val="en-US" w:eastAsia="en-US"/>
        </w:rPr>
        <w:t>commissioner.</w:t>
      </w:r>
    </w:p>
    <w:p w:rsidR="00064CB9" w:rsidRDefault="00064CB9" w:rsidP="00346C89">
      <w:pPr>
        <w:widowControl w:val="0"/>
        <w:autoSpaceDE w:val="0"/>
        <w:autoSpaceDN w:val="0"/>
        <w:spacing w:before="24" w:after="0" w:line="240" w:lineRule="auto"/>
        <w:ind w:left="120"/>
        <w:outlineLvl w:val="0"/>
        <w:rPr>
          <w:rFonts w:ascii="Palatino Linotype" w:eastAsia="Palatino Linotype" w:hAnsi="Palatino Linotype" w:cs="Palatino Linotype"/>
          <w:b/>
          <w:bCs/>
          <w:sz w:val="24"/>
          <w:szCs w:val="24"/>
          <w:lang w:val="en-US" w:eastAsia="en-US"/>
        </w:rPr>
      </w:pPr>
    </w:p>
    <w:p w:rsidR="00346C89" w:rsidRPr="00346C89" w:rsidRDefault="00346C89" w:rsidP="00346C89">
      <w:pPr>
        <w:widowControl w:val="0"/>
        <w:autoSpaceDE w:val="0"/>
        <w:autoSpaceDN w:val="0"/>
        <w:spacing w:before="24" w:after="0" w:line="240" w:lineRule="auto"/>
        <w:ind w:left="120"/>
        <w:outlineLvl w:val="0"/>
        <w:rPr>
          <w:rFonts w:ascii="Palatino Linotype" w:eastAsia="Palatino Linotype" w:hAnsi="Palatino Linotype" w:cs="Palatino Linotype"/>
          <w:b/>
          <w:bCs/>
          <w:sz w:val="24"/>
          <w:szCs w:val="24"/>
          <w:lang w:val="en-US" w:eastAsia="en-US"/>
        </w:rPr>
      </w:pPr>
      <w:r w:rsidRPr="00346C89">
        <w:rPr>
          <w:rFonts w:ascii="Palatino Linotype" w:eastAsia="Palatino Linotype" w:hAnsi="Palatino Linotype" w:cs="Palatino Linotype"/>
          <w:b/>
          <w:bCs/>
          <w:sz w:val="24"/>
          <w:szCs w:val="24"/>
          <w:lang w:val="en-US" w:eastAsia="en-US"/>
        </w:rPr>
        <w:lastRenderedPageBreak/>
        <w:t>When practitioners should consider whether a commission is required</w:t>
      </w:r>
    </w:p>
    <w:p w:rsidR="00346C89" w:rsidRPr="00346C89" w:rsidRDefault="00346C89" w:rsidP="00346C89">
      <w:pPr>
        <w:widowControl w:val="0"/>
        <w:autoSpaceDE w:val="0"/>
        <w:autoSpaceDN w:val="0"/>
        <w:spacing w:before="2" w:after="0" w:line="240" w:lineRule="auto"/>
        <w:rPr>
          <w:rFonts w:ascii="Palatino Linotype" w:eastAsia="Palatino Linotype" w:hAnsi="Palatino Linotype" w:cs="Palatino Linotype"/>
          <w:b/>
          <w:sz w:val="24"/>
          <w:szCs w:val="24"/>
          <w:lang w:val="en-US" w:eastAsia="en-US"/>
        </w:rPr>
      </w:pPr>
    </w:p>
    <w:p w:rsidR="00346C89" w:rsidRPr="00346C89" w:rsidRDefault="00346C89" w:rsidP="00346C89">
      <w:pPr>
        <w:widowControl w:val="0"/>
        <w:numPr>
          <w:ilvl w:val="0"/>
          <w:numId w:val="6"/>
        </w:numPr>
        <w:tabs>
          <w:tab w:val="left" w:pos="841"/>
        </w:tabs>
        <w:autoSpaceDE w:val="0"/>
        <w:autoSpaceDN w:val="0"/>
        <w:spacing w:before="1" w:after="0" w:line="240" w:lineRule="auto"/>
        <w:ind w:right="114"/>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Parties need to consider proactively at an early stage whether any witness is, or may be,</w:t>
      </w:r>
      <w:r w:rsidR="000D36CC">
        <w:rPr>
          <w:rFonts w:ascii="Palatino Linotype" w:eastAsia="Palatino Linotype" w:hAnsi="Palatino Linotype" w:cs="Palatino Linotype"/>
          <w:sz w:val="24"/>
          <w:lang w:val="en-US" w:eastAsia="en-US"/>
        </w:rPr>
        <w:t xml:space="preserve"> a vulnerable witness. In High </w:t>
      </w:r>
      <w:r w:rsidRPr="00346C89">
        <w:rPr>
          <w:rFonts w:ascii="Palatino Linotype" w:eastAsia="Palatino Linotype" w:hAnsi="Palatino Linotype" w:cs="Palatino Linotype"/>
          <w:sz w:val="24"/>
          <w:lang w:val="en-US" w:eastAsia="en-US"/>
        </w:rPr>
        <w:t xml:space="preserve">Court proceedings, if the Crown intends to seek the special measure of a commission that must be intimated to the defence at the earliest opportunity so that appropriate legal aid </w:t>
      </w:r>
      <w:proofErr w:type="gramStart"/>
      <w:r w:rsidRPr="00346C89">
        <w:rPr>
          <w:rFonts w:ascii="Palatino Linotype" w:eastAsia="Palatino Linotype" w:hAnsi="Palatino Linotype" w:cs="Palatino Linotype"/>
          <w:sz w:val="24"/>
          <w:lang w:val="en-US" w:eastAsia="en-US"/>
        </w:rPr>
        <w:t>cover</w:t>
      </w:r>
      <w:proofErr w:type="gramEnd"/>
      <w:r w:rsidRPr="00346C89">
        <w:rPr>
          <w:rFonts w:ascii="Palatino Linotype" w:eastAsia="Palatino Linotype" w:hAnsi="Palatino Linotype" w:cs="Palatino Linotype"/>
          <w:sz w:val="24"/>
          <w:lang w:val="en-US" w:eastAsia="en-US"/>
        </w:rPr>
        <w:t xml:space="preserve"> can be arranged without delay. Similarly, the defence must intimate any such intention to seek a commission as soon as</w:t>
      </w:r>
      <w:r w:rsidRPr="00346C89">
        <w:rPr>
          <w:rFonts w:ascii="Palatino Linotype" w:eastAsia="Palatino Linotype" w:hAnsi="Palatino Linotype" w:cs="Palatino Linotype"/>
          <w:spacing w:val="-10"/>
          <w:sz w:val="24"/>
          <w:lang w:val="en-US" w:eastAsia="en-US"/>
        </w:rPr>
        <w:t xml:space="preserve"> </w:t>
      </w:r>
      <w:r w:rsidRPr="00346C89">
        <w:rPr>
          <w:rFonts w:ascii="Palatino Linotype" w:eastAsia="Palatino Linotype" w:hAnsi="Palatino Linotype" w:cs="Palatino Linotype"/>
          <w:sz w:val="24"/>
          <w:lang w:val="en-US" w:eastAsia="en-US"/>
        </w:rPr>
        <w:t>possible.</w:t>
      </w:r>
    </w:p>
    <w:p w:rsidR="00346C89" w:rsidRPr="00346C89" w:rsidRDefault="00346C89" w:rsidP="00346C89">
      <w:pPr>
        <w:widowControl w:val="0"/>
        <w:autoSpaceDE w:val="0"/>
        <w:autoSpaceDN w:val="0"/>
        <w:spacing w:before="1" w:after="0" w:line="240" w:lineRule="auto"/>
        <w:rPr>
          <w:rFonts w:ascii="Palatino Linotype" w:eastAsia="Palatino Linotype" w:hAnsi="Palatino Linotype" w:cs="Palatino Linotype"/>
          <w:sz w:val="24"/>
          <w:szCs w:val="24"/>
          <w:lang w:val="en-US" w:eastAsia="en-US"/>
        </w:rPr>
      </w:pPr>
    </w:p>
    <w:p w:rsidR="00346C89" w:rsidRPr="00346C89" w:rsidRDefault="00346C89" w:rsidP="00346C89">
      <w:pPr>
        <w:widowControl w:val="0"/>
        <w:numPr>
          <w:ilvl w:val="0"/>
          <w:numId w:val="6"/>
        </w:numPr>
        <w:tabs>
          <w:tab w:val="left" w:pos="841"/>
        </w:tabs>
        <w:autoSpaceDE w:val="0"/>
        <w:autoSpaceDN w:val="0"/>
        <w:spacing w:after="0" w:line="240" w:lineRule="auto"/>
        <w:ind w:right="114"/>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In cases where it is intended to rely on a prior statement as evidence in chief, it is particularly important that the commission should proceed  at as early a stage as possible, having regard to the observations of the court in the case of </w:t>
      </w:r>
      <w:r w:rsidRPr="00346C89">
        <w:rPr>
          <w:rFonts w:ascii="Palatino Linotype" w:eastAsia="Palatino Linotype" w:hAnsi="Palatino Linotype" w:cs="Palatino Linotype"/>
          <w:i/>
          <w:sz w:val="24"/>
          <w:lang w:val="en-US" w:eastAsia="en-US"/>
        </w:rPr>
        <w:t xml:space="preserve">MacLennan v HM Advocate </w:t>
      </w:r>
      <w:r w:rsidRPr="00346C89">
        <w:rPr>
          <w:rFonts w:ascii="Palatino Linotype" w:eastAsia="Palatino Linotype" w:hAnsi="Palatino Linotype" w:cs="Palatino Linotype"/>
          <w:sz w:val="24"/>
          <w:lang w:val="en-US" w:eastAsia="en-US"/>
        </w:rPr>
        <w:t>2016 JC 117 at paras 21 and</w:t>
      </w:r>
      <w:r w:rsidRPr="00346C89">
        <w:rPr>
          <w:rFonts w:ascii="Palatino Linotype" w:eastAsia="Palatino Linotype" w:hAnsi="Palatino Linotype" w:cs="Palatino Linotype"/>
          <w:spacing w:val="-1"/>
          <w:sz w:val="24"/>
          <w:lang w:val="en-US" w:eastAsia="en-US"/>
        </w:rPr>
        <w:t xml:space="preserve"> </w:t>
      </w:r>
      <w:r w:rsidRPr="00346C89">
        <w:rPr>
          <w:rFonts w:ascii="Palatino Linotype" w:eastAsia="Palatino Linotype" w:hAnsi="Palatino Linotype" w:cs="Palatino Linotype"/>
          <w:sz w:val="24"/>
          <w:lang w:val="en-US" w:eastAsia="en-US"/>
        </w:rPr>
        <w:t>28.</w:t>
      </w: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24"/>
          <w:szCs w:val="24"/>
          <w:lang w:val="en-US" w:eastAsia="en-US"/>
        </w:rPr>
      </w:pPr>
    </w:p>
    <w:p w:rsidR="00346C89" w:rsidRPr="00346C89" w:rsidRDefault="00346C89" w:rsidP="00346C89">
      <w:pPr>
        <w:widowControl w:val="0"/>
        <w:autoSpaceDE w:val="0"/>
        <w:autoSpaceDN w:val="0"/>
        <w:spacing w:before="9" w:after="0" w:line="240" w:lineRule="auto"/>
        <w:rPr>
          <w:rFonts w:ascii="Palatino Linotype" w:eastAsia="Palatino Linotype" w:hAnsi="Palatino Linotype" w:cs="Palatino Linotype"/>
          <w:sz w:val="23"/>
          <w:szCs w:val="24"/>
          <w:lang w:val="en-US" w:eastAsia="en-US"/>
        </w:rPr>
      </w:pPr>
    </w:p>
    <w:p w:rsidR="00346C89" w:rsidRPr="00346C89" w:rsidRDefault="00346C89" w:rsidP="00346C89">
      <w:pPr>
        <w:widowControl w:val="0"/>
        <w:autoSpaceDE w:val="0"/>
        <w:autoSpaceDN w:val="0"/>
        <w:spacing w:after="0" w:line="240" w:lineRule="auto"/>
        <w:ind w:left="120"/>
        <w:outlineLvl w:val="0"/>
        <w:rPr>
          <w:rFonts w:ascii="Palatino Linotype" w:eastAsia="Palatino Linotype" w:hAnsi="Palatino Linotype" w:cs="Palatino Linotype"/>
          <w:b/>
          <w:bCs/>
          <w:sz w:val="24"/>
          <w:szCs w:val="24"/>
          <w:lang w:val="en-US" w:eastAsia="en-US"/>
        </w:rPr>
      </w:pPr>
      <w:r w:rsidRPr="00346C89">
        <w:rPr>
          <w:rFonts w:ascii="Palatino Linotype" w:eastAsia="Palatino Linotype" w:hAnsi="Palatino Linotype" w:cs="Palatino Linotype"/>
          <w:b/>
          <w:bCs/>
          <w:sz w:val="24"/>
          <w:szCs w:val="24"/>
          <w:lang w:val="en-US" w:eastAsia="en-US"/>
        </w:rPr>
        <w:t>Preparation for seeking the special measure of taking of evidence by a commissioner</w:t>
      </w:r>
    </w:p>
    <w:p w:rsidR="00346C89" w:rsidRPr="00346C89" w:rsidRDefault="00346C89" w:rsidP="00346C89">
      <w:pPr>
        <w:widowControl w:val="0"/>
        <w:autoSpaceDE w:val="0"/>
        <w:autoSpaceDN w:val="0"/>
        <w:spacing w:before="2" w:after="0" w:line="240" w:lineRule="auto"/>
        <w:rPr>
          <w:rFonts w:ascii="Palatino Linotype" w:eastAsia="Palatino Linotype" w:hAnsi="Palatino Linotype" w:cs="Palatino Linotype"/>
          <w:b/>
          <w:sz w:val="24"/>
          <w:szCs w:val="24"/>
          <w:lang w:val="en-US" w:eastAsia="en-US"/>
        </w:rPr>
      </w:pPr>
    </w:p>
    <w:p w:rsidR="00346C89" w:rsidRPr="00346C89" w:rsidRDefault="00346C89" w:rsidP="00346C89">
      <w:pPr>
        <w:widowControl w:val="0"/>
        <w:numPr>
          <w:ilvl w:val="0"/>
          <w:numId w:val="6"/>
        </w:numPr>
        <w:tabs>
          <w:tab w:val="left" w:pos="841"/>
        </w:tabs>
        <w:autoSpaceDE w:val="0"/>
        <w:autoSpaceDN w:val="0"/>
        <w:spacing w:after="0" w:line="240" w:lineRule="auto"/>
        <w:ind w:right="116"/>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In preparing a Vulnerable Witness (VW) notice or application a practitioner is</w:t>
      </w:r>
      <w:r w:rsidRPr="00346C89">
        <w:rPr>
          <w:rFonts w:ascii="Palatino Linotype" w:eastAsia="Palatino Linotype" w:hAnsi="Palatino Linotype" w:cs="Palatino Linotype"/>
          <w:spacing w:val="-7"/>
          <w:sz w:val="24"/>
          <w:lang w:val="en-US" w:eastAsia="en-US"/>
        </w:rPr>
        <w:t xml:space="preserve"> </w:t>
      </w:r>
      <w:r w:rsidRPr="00346C89">
        <w:rPr>
          <w:rFonts w:ascii="Palatino Linotype" w:eastAsia="Palatino Linotype" w:hAnsi="Palatino Linotype" w:cs="Palatino Linotype"/>
          <w:sz w:val="24"/>
          <w:lang w:val="en-US" w:eastAsia="en-US"/>
        </w:rPr>
        <w:t>to:</w:t>
      </w: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24"/>
          <w:szCs w:val="24"/>
          <w:lang w:val="en-US" w:eastAsia="en-US"/>
        </w:rPr>
      </w:pPr>
    </w:p>
    <w:p w:rsidR="00346C89" w:rsidRPr="00346C89" w:rsidRDefault="00346C89" w:rsidP="00346C89">
      <w:pPr>
        <w:widowControl w:val="0"/>
        <w:numPr>
          <w:ilvl w:val="0"/>
          <w:numId w:val="5"/>
        </w:numPr>
        <w:tabs>
          <w:tab w:val="left" w:pos="1200"/>
          <w:tab w:val="left" w:pos="1201"/>
        </w:tabs>
        <w:autoSpaceDE w:val="0"/>
        <w:autoSpaceDN w:val="0"/>
        <w:spacing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have regard to the best interests of the</w:t>
      </w:r>
      <w:r w:rsidRPr="00346C89">
        <w:rPr>
          <w:rFonts w:ascii="Palatino Linotype" w:eastAsia="Palatino Linotype" w:hAnsi="Palatino Linotype" w:cs="Palatino Linotype"/>
          <w:spacing w:val="-17"/>
          <w:sz w:val="24"/>
          <w:lang w:val="en-US" w:eastAsia="en-US"/>
        </w:rPr>
        <w:t xml:space="preserve"> </w:t>
      </w:r>
      <w:r w:rsidRPr="00346C89">
        <w:rPr>
          <w:rFonts w:ascii="Palatino Linotype" w:eastAsia="Palatino Linotype" w:hAnsi="Palatino Linotype" w:cs="Palatino Linotype"/>
          <w:sz w:val="24"/>
          <w:lang w:val="en-US" w:eastAsia="en-US"/>
        </w:rPr>
        <w:t>witness;</w:t>
      </w:r>
    </w:p>
    <w:p w:rsidR="00346C89" w:rsidRPr="00346C89" w:rsidRDefault="00346C89" w:rsidP="00346C89">
      <w:pPr>
        <w:widowControl w:val="0"/>
        <w:numPr>
          <w:ilvl w:val="0"/>
          <w:numId w:val="5"/>
        </w:numPr>
        <w:tabs>
          <w:tab w:val="left" w:pos="1201"/>
        </w:tabs>
        <w:autoSpaceDE w:val="0"/>
        <w:autoSpaceDN w:val="0"/>
        <w:spacing w:before="120" w:after="0" w:line="240" w:lineRule="auto"/>
        <w:ind w:right="113"/>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seek the views of the witness, and/or parent or guardian </w:t>
      </w:r>
      <w:r w:rsidRPr="00346C89">
        <w:rPr>
          <w:rFonts w:ascii="Palatino Linotype" w:eastAsia="Palatino Linotype" w:hAnsi="Palatino Linotype" w:cs="Palatino Linotype"/>
          <w:spacing w:val="3"/>
          <w:sz w:val="24"/>
          <w:lang w:val="en-US" w:eastAsia="en-US"/>
        </w:rPr>
        <w:t xml:space="preserve">of </w:t>
      </w:r>
      <w:r w:rsidRPr="00346C89">
        <w:rPr>
          <w:rFonts w:ascii="Palatino Linotype" w:eastAsia="Palatino Linotype" w:hAnsi="Palatino Linotype" w:cs="Palatino Linotype"/>
          <w:sz w:val="24"/>
          <w:lang w:val="en-US" w:eastAsia="en-US"/>
        </w:rPr>
        <w:t>the witness, as appropriate, with a view to determining whether taking evidence by commissioner will be the most suitable  special measure, or whether another special measure, or a combination of measures, will be better in obtaining the witness’s “ best</w:t>
      </w:r>
      <w:r w:rsidRPr="00346C89">
        <w:rPr>
          <w:rFonts w:ascii="Palatino Linotype" w:eastAsia="Palatino Linotype" w:hAnsi="Palatino Linotype" w:cs="Palatino Linotype"/>
          <w:spacing w:val="-16"/>
          <w:sz w:val="24"/>
          <w:lang w:val="en-US" w:eastAsia="en-US"/>
        </w:rPr>
        <w:t xml:space="preserve"> </w:t>
      </w:r>
      <w:r w:rsidRPr="00346C89">
        <w:rPr>
          <w:rFonts w:ascii="Palatino Linotype" w:eastAsia="Palatino Linotype" w:hAnsi="Palatino Linotype" w:cs="Palatino Linotype"/>
          <w:sz w:val="24"/>
          <w:lang w:val="en-US" w:eastAsia="en-US"/>
        </w:rPr>
        <w:t>evidence”;</w:t>
      </w:r>
    </w:p>
    <w:p w:rsidR="00346C89" w:rsidRPr="00346C89" w:rsidRDefault="00346C89" w:rsidP="00346C89">
      <w:pPr>
        <w:widowControl w:val="0"/>
        <w:numPr>
          <w:ilvl w:val="0"/>
          <w:numId w:val="5"/>
        </w:numPr>
        <w:tabs>
          <w:tab w:val="left" w:pos="1201"/>
        </w:tabs>
        <w:autoSpaceDE w:val="0"/>
        <w:autoSpaceDN w:val="0"/>
        <w:spacing w:before="120" w:after="0" w:line="240" w:lineRule="auto"/>
        <w:ind w:right="113"/>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take account of any such views expressed by the witness, or a parent or guardian of the witness as appropriate;</w:t>
      </w:r>
      <w:r w:rsidRPr="00346C89">
        <w:rPr>
          <w:rFonts w:ascii="Palatino Linotype" w:eastAsia="Palatino Linotype" w:hAnsi="Palatino Linotype" w:cs="Palatino Linotype"/>
          <w:spacing w:val="-8"/>
          <w:sz w:val="24"/>
          <w:lang w:val="en-US" w:eastAsia="en-US"/>
        </w:rPr>
        <w:t xml:space="preserve"> </w:t>
      </w:r>
      <w:r w:rsidRPr="00346C89">
        <w:rPr>
          <w:rFonts w:ascii="Palatino Linotype" w:eastAsia="Palatino Linotype" w:hAnsi="Palatino Linotype" w:cs="Palatino Linotype"/>
          <w:sz w:val="24"/>
          <w:lang w:val="en-US" w:eastAsia="en-US"/>
        </w:rPr>
        <w:t>and</w:t>
      </w:r>
    </w:p>
    <w:p w:rsidR="00346C89" w:rsidRPr="00346C89" w:rsidRDefault="00346C89" w:rsidP="00346C89">
      <w:pPr>
        <w:widowControl w:val="0"/>
        <w:numPr>
          <w:ilvl w:val="0"/>
          <w:numId w:val="5"/>
        </w:numPr>
        <w:tabs>
          <w:tab w:val="left" w:pos="1201"/>
        </w:tabs>
        <w:autoSpaceDE w:val="0"/>
        <w:autoSpaceDN w:val="0"/>
        <w:spacing w:before="120" w:after="0" w:line="240" w:lineRule="auto"/>
        <w:ind w:right="119"/>
        <w:jc w:val="both"/>
        <w:rPr>
          <w:rFonts w:ascii="Palatino Linotype" w:eastAsia="Palatino Linotype" w:hAnsi="Palatino Linotype" w:cs="Palatino Linotype"/>
          <w:sz w:val="24"/>
          <w:lang w:val="en-US" w:eastAsia="en-US"/>
        </w:rPr>
      </w:pPr>
      <w:proofErr w:type="gramStart"/>
      <w:r w:rsidRPr="00346C89">
        <w:rPr>
          <w:rFonts w:ascii="Palatino Linotype" w:eastAsia="Palatino Linotype" w:hAnsi="Palatino Linotype" w:cs="Palatino Linotype"/>
          <w:sz w:val="24"/>
          <w:lang w:val="en-US" w:eastAsia="en-US"/>
        </w:rPr>
        <w:t>consider</w:t>
      </w:r>
      <w:proofErr w:type="gramEnd"/>
      <w:r w:rsidRPr="00346C89">
        <w:rPr>
          <w:rFonts w:ascii="Palatino Linotype" w:eastAsia="Palatino Linotype" w:hAnsi="Palatino Linotype" w:cs="Palatino Linotype"/>
          <w:sz w:val="24"/>
          <w:lang w:val="en-US" w:eastAsia="en-US"/>
        </w:rPr>
        <w:t xml:space="preserve"> how relevant information relating to the application or any subsequent commission will be communicated to the</w:t>
      </w:r>
      <w:r w:rsidRPr="00346C89">
        <w:rPr>
          <w:rFonts w:ascii="Palatino Linotype" w:eastAsia="Palatino Linotype" w:hAnsi="Palatino Linotype" w:cs="Palatino Linotype"/>
          <w:spacing w:val="-20"/>
          <w:sz w:val="24"/>
          <w:lang w:val="en-US" w:eastAsia="en-US"/>
        </w:rPr>
        <w:t xml:space="preserve"> </w:t>
      </w:r>
      <w:r w:rsidRPr="00346C89">
        <w:rPr>
          <w:rFonts w:ascii="Palatino Linotype" w:eastAsia="Palatino Linotype" w:hAnsi="Palatino Linotype" w:cs="Palatino Linotype"/>
          <w:sz w:val="24"/>
          <w:lang w:val="en-US" w:eastAsia="en-US"/>
        </w:rPr>
        <w:t>witness.</w:t>
      </w:r>
    </w:p>
    <w:p w:rsidR="00346C89" w:rsidRPr="00346C89" w:rsidRDefault="00346C89" w:rsidP="00346C89">
      <w:pPr>
        <w:widowControl w:val="0"/>
        <w:autoSpaceDE w:val="0"/>
        <w:autoSpaceDN w:val="0"/>
        <w:spacing w:before="12" w:after="0" w:line="240" w:lineRule="auto"/>
        <w:rPr>
          <w:rFonts w:ascii="Palatino Linotype" w:eastAsia="Palatino Linotype" w:hAnsi="Palatino Linotype" w:cs="Palatino Linotype"/>
          <w:sz w:val="32"/>
          <w:szCs w:val="24"/>
          <w:lang w:val="en-US" w:eastAsia="en-US"/>
        </w:rPr>
      </w:pPr>
    </w:p>
    <w:p w:rsidR="00346C89" w:rsidRPr="00346C89" w:rsidRDefault="00346C89" w:rsidP="00346C89">
      <w:pPr>
        <w:widowControl w:val="0"/>
        <w:numPr>
          <w:ilvl w:val="0"/>
          <w:numId w:val="6"/>
        </w:numPr>
        <w:tabs>
          <w:tab w:val="left" w:pos="840"/>
          <w:tab w:val="left" w:pos="841"/>
        </w:tabs>
        <w:autoSpaceDE w:val="0"/>
        <w:autoSpaceDN w:val="0"/>
        <w:spacing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VW notice or application is</w:t>
      </w:r>
      <w:r w:rsidRPr="00346C89">
        <w:rPr>
          <w:rFonts w:ascii="Palatino Linotype" w:eastAsia="Palatino Linotype" w:hAnsi="Palatino Linotype" w:cs="Palatino Linotype"/>
          <w:spacing w:val="-10"/>
          <w:sz w:val="24"/>
          <w:lang w:val="en-US" w:eastAsia="en-US"/>
        </w:rPr>
        <w:t xml:space="preserve"> </w:t>
      </w:r>
      <w:r w:rsidRPr="00346C89">
        <w:rPr>
          <w:rFonts w:ascii="Palatino Linotype" w:eastAsia="Palatino Linotype" w:hAnsi="Palatino Linotype" w:cs="Palatino Linotype"/>
          <w:sz w:val="24"/>
          <w:lang w:val="en-US" w:eastAsia="en-US"/>
        </w:rPr>
        <w:t>to</w:t>
      </w:r>
    </w:p>
    <w:p w:rsidR="00346C89" w:rsidRPr="00346C89" w:rsidRDefault="00346C89" w:rsidP="00346C89">
      <w:pPr>
        <w:widowControl w:val="0"/>
        <w:autoSpaceDE w:val="0"/>
        <w:autoSpaceDN w:val="0"/>
        <w:spacing w:before="13" w:after="0" w:line="240" w:lineRule="auto"/>
        <w:rPr>
          <w:rFonts w:ascii="Palatino Linotype" w:eastAsia="Palatino Linotype" w:hAnsi="Palatino Linotype" w:cs="Palatino Linotype"/>
          <w:sz w:val="23"/>
          <w:szCs w:val="24"/>
          <w:lang w:val="en-US" w:eastAsia="en-US"/>
        </w:rPr>
      </w:pPr>
    </w:p>
    <w:p w:rsidR="00346C89" w:rsidRPr="00346C89" w:rsidRDefault="00346C89" w:rsidP="00346C89">
      <w:pPr>
        <w:widowControl w:val="0"/>
        <w:numPr>
          <w:ilvl w:val="0"/>
          <w:numId w:val="4"/>
        </w:numPr>
        <w:tabs>
          <w:tab w:val="left" w:pos="1200"/>
          <w:tab w:val="left" w:pos="1201"/>
        </w:tabs>
        <w:autoSpaceDE w:val="0"/>
        <w:autoSpaceDN w:val="0"/>
        <w:spacing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reflect any relevant statutory</w:t>
      </w:r>
      <w:r w:rsidRPr="00346C89">
        <w:rPr>
          <w:rFonts w:ascii="Palatino Linotype" w:eastAsia="Palatino Linotype" w:hAnsi="Palatino Linotype" w:cs="Palatino Linotype"/>
          <w:spacing w:val="-15"/>
          <w:sz w:val="24"/>
          <w:lang w:val="en-US" w:eastAsia="en-US"/>
        </w:rPr>
        <w:t xml:space="preserve"> </w:t>
      </w:r>
      <w:r w:rsidRPr="00346C89">
        <w:rPr>
          <w:rFonts w:ascii="Palatino Linotype" w:eastAsia="Palatino Linotype" w:hAnsi="Palatino Linotype" w:cs="Palatino Linotype"/>
          <w:sz w:val="24"/>
          <w:lang w:val="en-US" w:eastAsia="en-US"/>
        </w:rPr>
        <w:t>provisions;</w:t>
      </w:r>
    </w:p>
    <w:p w:rsidR="00346C89" w:rsidRDefault="00346C89" w:rsidP="00346C89">
      <w:pPr>
        <w:widowControl w:val="0"/>
        <w:autoSpaceDE w:val="0"/>
        <w:autoSpaceDN w:val="0"/>
        <w:spacing w:before="11" w:after="0" w:line="240" w:lineRule="auto"/>
        <w:rPr>
          <w:rFonts w:ascii="Palatino Linotype" w:eastAsia="Palatino Linotype" w:hAnsi="Palatino Linotype" w:cs="Palatino Linotype"/>
          <w:sz w:val="16"/>
          <w:szCs w:val="24"/>
          <w:lang w:val="en-US" w:eastAsia="en-US"/>
        </w:rPr>
      </w:pPr>
    </w:p>
    <w:p w:rsidR="00346C89" w:rsidRPr="00346C89" w:rsidRDefault="00346C89" w:rsidP="00346C89">
      <w:pPr>
        <w:widowControl w:val="0"/>
        <w:numPr>
          <w:ilvl w:val="0"/>
          <w:numId w:val="4"/>
        </w:numPr>
        <w:tabs>
          <w:tab w:val="left" w:pos="1201"/>
        </w:tabs>
        <w:autoSpaceDE w:val="0"/>
        <w:autoSpaceDN w:val="0"/>
        <w:spacing w:after="0" w:line="240" w:lineRule="auto"/>
        <w:ind w:right="125"/>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explain the basis upon which the witness qualifies as a vulnerable witness, and any specific issues relating to the</w:t>
      </w:r>
      <w:r w:rsidRPr="00346C89">
        <w:rPr>
          <w:rFonts w:ascii="Palatino Linotype" w:eastAsia="Palatino Linotype" w:hAnsi="Palatino Linotype" w:cs="Palatino Linotype"/>
          <w:spacing w:val="-14"/>
          <w:sz w:val="24"/>
          <w:lang w:val="en-US" w:eastAsia="en-US"/>
        </w:rPr>
        <w:t xml:space="preserve"> </w:t>
      </w:r>
      <w:r w:rsidRPr="00346C89">
        <w:rPr>
          <w:rFonts w:ascii="Palatino Linotype" w:eastAsia="Palatino Linotype" w:hAnsi="Palatino Linotype" w:cs="Palatino Linotype"/>
          <w:sz w:val="24"/>
          <w:lang w:val="en-US" w:eastAsia="en-US"/>
        </w:rPr>
        <w:t>witness;</w:t>
      </w:r>
    </w:p>
    <w:p w:rsidR="00346C89" w:rsidRPr="00346C89" w:rsidRDefault="00346C89" w:rsidP="00346C89">
      <w:pPr>
        <w:widowControl w:val="0"/>
        <w:numPr>
          <w:ilvl w:val="0"/>
          <w:numId w:val="4"/>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why a commission is considered appropriate for the</w:t>
      </w:r>
      <w:r w:rsidRPr="00346C89">
        <w:rPr>
          <w:rFonts w:ascii="Palatino Linotype" w:eastAsia="Palatino Linotype" w:hAnsi="Palatino Linotype" w:cs="Palatino Linotype"/>
          <w:spacing w:val="-18"/>
          <w:sz w:val="24"/>
          <w:lang w:val="en-US" w:eastAsia="en-US"/>
        </w:rPr>
        <w:t xml:space="preserve"> </w:t>
      </w:r>
      <w:r w:rsidRPr="00346C89">
        <w:rPr>
          <w:rFonts w:ascii="Palatino Linotype" w:eastAsia="Palatino Linotype" w:hAnsi="Palatino Linotype" w:cs="Palatino Linotype"/>
          <w:sz w:val="24"/>
          <w:lang w:val="en-US" w:eastAsia="en-US"/>
        </w:rPr>
        <w:t>witness;</w:t>
      </w:r>
    </w:p>
    <w:p w:rsidR="00346C89" w:rsidRPr="00346C89" w:rsidRDefault="00346C89" w:rsidP="00346C89">
      <w:pPr>
        <w:widowControl w:val="0"/>
        <w:numPr>
          <w:ilvl w:val="0"/>
          <w:numId w:val="4"/>
        </w:numPr>
        <w:tabs>
          <w:tab w:val="left" w:pos="1201"/>
        </w:tabs>
        <w:autoSpaceDE w:val="0"/>
        <w:autoSpaceDN w:val="0"/>
        <w:spacing w:before="120" w:after="0" w:line="240" w:lineRule="auto"/>
        <w:ind w:right="124"/>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state whether the commission requires to be held in any particular place, or environment, due to the location of the witness or any </w:t>
      </w:r>
      <w:r w:rsidRPr="00346C89">
        <w:rPr>
          <w:rFonts w:ascii="Palatino Linotype" w:eastAsia="Palatino Linotype" w:hAnsi="Palatino Linotype" w:cs="Palatino Linotype"/>
          <w:sz w:val="24"/>
          <w:lang w:val="en-US" w:eastAsia="en-US"/>
        </w:rPr>
        <w:lastRenderedPageBreak/>
        <w:t>particular vulnerabilities which the witness may</w:t>
      </w:r>
      <w:r w:rsidRPr="00346C89">
        <w:rPr>
          <w:rFonts w:ascii="Palatino Linotype" w:eastAsia="Palatino Linotype" w:hAnsi="Palatino Linotype" w:cs="Palatino Linotype"/>
          <w:spacing w:val="-12"/>
          <w:sz w:val="24"/>
          <w:lang w:val="en-US" w:eastAsia="en-US"/>
        </w:rPr>
        <w:t xml:space="preserve"> </w:t>
      </w:r>
      <w:r w:rsidRPr="00346C89">
        <w:rPr>
          <w:rFonts w:ascii="Palatino Linotype" w:eastAsia="Palatino Linotype" w:hAnsi="Palatino Linotype" w:cs="Palatino Linotype"/>
          <w:sz w:val="24"/>
          <w:lang w:val="en-US" w:eastAsia="en-US"/>
        </w:rPr>
        <w:t>have;</w:t>
      </w:r>
    </w:p>
    <w:p w:rsidR="00346C89" w:rsidRPr="00346C89" w:rsidRDefault="00346C89" w:rsidP="00346C89">
      <w:pPr>
        <w:widowControl w:val="0"/>
        <w:numPr>
          <w:ilvl w:val="0"/>
          <w:numId w:val="4"/>
        </w:numPr>
        <w:tabs>
          <w:tab w:val="left" w:pos="1200"/>
          <w:tab w:val="left" w:pos="1201"/>
        </w:tabs>
        <w:autoSpaceDE w:val="0"/>
        <w:autoSpaceDN w:val="0"/>
        <w:spacing w:before="117"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whether the witness requires additional special</w:t>
      </w:r>
      <w:r w:rsidRPr="00346C89">
        <w:rPr>
          <w:rFonts w:ascii="Palatino Linotype" w:eastAsia="Palatino Linotype" w:hAnsi="Palatino Linotype" w:cs="Palatino Linotype"/>
          <w:spacing w:val="-17"/>
          <w:sz w:val="24"/>
          <w:lang w:val="en-US" w:eastAsia="en-US"/>
        </w:rPr>
        <w:t xml:space="preserve"> </w:t>
      </w:r>
      <w:r w:rsidRPr="00346C89">
        <w:rPr>
          <w:rFonts w:ascii="Palatino Linotype" w:eastAsia="Palatino Linotype" w:hAnsi="Palatino Linotype" w:cs="Palatino Linotype"/>
          <w:sz w:val="24"/>
          <w:lang w:val="en-US" w:eastAsia="en-US"/>
        </w:rPr>
        <w:t>measures;</w:t>
      </w:r>
    </w:p>
    <w:p w:rsidR="00346C89" w:rsidRPr="00346C89" w:rsidRDefault="00346C89" w:rsidP="00346C89">
      <w:pPr>
        <w:widowControl w:val="0"/>
        <w:numPr>
          <w:ilvl w:val="0"/>
          <w:numId w:val="4"/>
        </w:numPr>
        <w:tabs>
          <w:tab w:val="left" w:pos="1201"/>
        </w:tabs>
        <w:autoSpaceDE w:val="0"/>
        <w:autoSpaceDN w:val="0"/>
        <w:spacing w:before="119" w:after="0" w:line="240" w:lineRule="auto"/>
        <w:ind w:right="125"/>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whether the witness will give evidence to the commission by live television</w:t>
      </w:r>
      <w:r w:rsidRPr="00346C89">
        <w:rPr>
          <w:rFonts w:ascii="Palatino Linotype" w:eastAsia="Palatino Linotype" w:hAnsi="Palatino Linotype" w:cs="Palatino Linotype"/>
          <w:spacing w:val="-8"/>
          <w:sz w:val="24"/>
          <w:lang w:val="en-US" w:eastAsia="en-US"/>
        </w:rPr>
        <w:t xml:space="preserve"> </w:t>
      </w:r>
      <w:r w:rsidRPr="00346C89">
        <w:rPr>
          <w:rFonts w:ascii="Palatino Linotype" w:eastAsia="Palatino Linotype" w:hAnsi="Palatino Linotype" w:cs="Palatino Linotype"/>
          <w:sz w:val="24"/>
          <w:lang w:val="en-US" w:eastAsia="en-US"/>
        </w:rPr>
        <w:t>link;</w:t>
      </w:r>
    </w:p>
    <w:p w:rsidR="00346C89" w:rsidRPr="00346C89" w:rsidRDefault="00346C89" w:rsidP="00346C89">
      <w:pPr>
        <w:widowControl w:val="0"/>
        <w:numPr>
          <w:ilvl w:val="0"/>
          <w:numId w:val="4"/>
        </w:numPr>
        <w:tabs>
          <w:tab w:val="left" w:pos="1201"/>
        </w:tabs>
        <w:autoSpaceDE w:val="0"/>
        <w:autoSpaceDN w:val="0"/>
        <w:spacing w:before="119" w:after="0" w:line="240" w:lineRule="auto"/>
        <w:ind w:right="123"/>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whether the witness is restricted as to any times of the day, or particular days or dates that he or she can attend a commission as a result of his or her</w:t>
      </w:r>
      <w:r w:rsidRPr="00346C89">
        <w:rPr>
          <w:rFonts w:ascii="Palatino Linotype" w:eastAsia="Palatino Linotype" w:hAnsi="Palatino Linotype" w:cs="Palatino Linotype"/>
          <w:spacing w:val="-12"/>
          <w:sz w:val="24"/>
          <w:lang w:val="en-US" w:eastAsia="en-US"/>
        </w:rPr>
        <w:t xml:space="preserve"> </w:t>
      </w:r>
      <w:r w:rsidRPr="00346C89">
        <w:rPr>
          <w:rFonts w:ascii="Palatino Linotype" w:eastAsia="Palatino Linotype" w:hAnsi="Palatino Linotype" w:cs="Palatino Linotype"/>
          <w:sz w:val="24"/>
          <w:lang w:val="en-US" w:eastAsia="en-US"/>
        </w:rPr>
        <w:t>vulnerability;</w:t>
      </w:r>
    </w:p>
    <w:p w:rsidR="00346C89" w:rsidRPr="00346C89" w:rsidRDefault="00346C89" w:rsidP="00346C89">
      <w:pPr>
        <w:widowControl w:val="0"/>
        <w:numPr>
          <w:ilvl w:val="0"/>
          <w:numId w:val="4"/>
        </w:numPr>
        <w:tabs>
          <w:tab w:val="left" w:pos="1201"/>
        </w:tabs>
        <w:autoSpaceDE w:val="0"/>
        <w:autoSpaceDN w:val="0"/>
        <w:spacing w:before="119" w:after="0" w:line="240" w:lineRule="auto"/>
        <w:ind w:right="124"/>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whether the witness is likely to need frequent breaks or any other special requirements, such as disabled</w:t>
      </w:r>
      <w:r w:rsidRPr="00346C89">
        <w:rPr>
          <w:rFonts w:ascii="Palatino Linotype" w:eastAsia="Palatino Linotype" w:hAnsi="Palatino Linotype" w:cs="Palatino Linotype"/>
          <w:spacing w:val="-13"/>
          <w:sz w:val="24"/>
          <w:lang w:val="en-US" w:eastAsia="en-US"/>
        </w:rPr>
        <w:t xml:space="preserve"> </w:t>
      </w:r>
      <w:r w:rsidRPr="00346C89">
        <w:rPr>
          <w:rFonts w:ascii="Palatino Linotype" w:eastAsia="Palatino Linotype" w:hAnsi="Palatino Linotype" w:cs="Palatino Linotype"/>
          <w:sz w:val="24"/>
          <w:lang w:val="en-US" w:eastAsia="en-US"/>
        </w:rPr>
        <w:t>access;</w:t>
      </w:r>
    </w:p>
    <w:p w:rsidR="00346C89" w:rsidRPr="00346C89" w:rsidRDefault="00346C89" w:rsidP="00346C89">
      <w:pPr>
        <w:widowControl w:val="0"/>
        <w:numPr>
          <w:ilvl w:val="0"/>
          <w:numId w:val="4"/>
        </w:numPr>
        <w:tabs>
          <w:tab w:val="left" w:pos="1200"/>
          <w:tab w:val="left" w:pos="1201"/>
        </w:tabs>
        <w:autoSpaceDE w:val="0"/>
        <w:autoSpaceDN w:val="0"/>
        <w:spacing w:before="119"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address how any question of identification is going to be dealt</w:t>
      </w:r>
      <w:r w:rsidRPr="00346C89">
        <w:rPr>
          <w:rFonts w:ascii="Palatino Linotype" w:eastAsia="Palatino Linotype" w:hAnsi="Palatino Linotype" w:cs="Palatino Linotype"/>
          <w:spacing w:val="-15"/>
          <w:sz w:val="24"/>
          <w:lang w:val="en-US" w:eastAsia="en-US"/>
        </w:rPr>
        <w:t xml:space="preserve"> </w:t>
      </w:r>
      <w:r w:rsidRPr="00346C89">
        <w:rPr>
          <w:rFonts w:ascii="Palatino Linotype" w:eastAsia="Palatino Linotype" w:hAnsi="Palatino Linotype" w:cs="Palatino Linotype"/>
          <w:sz w:val="24"/>
          <w:lang w:val="en-US" w:eastAsia="en-US"/>
        </w:rPr>
        <w:t>with;</w:t>
      </w:r>
    </w:p>
    <w:p w:rsidR="00346C89" w:rsidRPr="00346C89" w:rsidRDefault="00346C89" w:rsidP="00346C89">
      <w:pPr>
        <w:widowControl w:val="0"/>
        <w:numPr>
          <w:ilvl w:val="0"/>
          <w:numId w:val="4"/>
        </w:numPr>
        <w:tabs>
          <w:tab w:val="left" w:pos="1201"/>
        </w:tabs>
        <w:autoSpaceDE w:val="0"/>
        <w:autoSpaceDN w:val="0"/>
        <w:spacing w:before="119" w:after="0" w:line="240" w:lineRule="auto"/>
        <w:ind w:right="113"/>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identify any productions or labels that may require to be put to </w:t>
      </w:r>
      <w:r w:rsidRPr="00346C89">
        <w:rPr>
          <w:rFonts w:ascii="Palatino Linotype" w:eastAsia="Palatino Linotype" w:hAnsi="Palatino Linotype" w:cs="Palatino Linotype"/>
          <w:spacing w:val="2"/>
          <w:sz w:val="24"/>
          <w:lang w:val="en-US" w:eastAsia="en-US"/>
        </w:rPr>
        <w:t xml:space="preserve">the </w:t>
      </w:r>
      <w:r w:rsidRPr="00346C89">
        <w:rPr>
          <w:rFonts w:ascii="Palatino Linotype" w:eastAsia="Palatino Linotype" w:hAnsi="Palatino Linotype" w:cs="Palatino Linotype"/>
          <w:sz w:val="24"/>
          <w:lang w:val="en-US" w:eastAsia="en-US"/>
        </w:rPr>
        <w:t>witness (the use of any productions or labels should be kept to a minimum);</w:t>
      </w:r>
    </w:p>
    <w:p w:rsidR="00346C89" w:rsidRPr="00346C89" w:rsidRDefault="00346C89" w:rsidP="00346C89">
      <w:pPr>
        <w:widowControl w:val="0"/>
        <w:numPr>
          <w:ilvl w:val="0"/>
          <w:numId w:val="4"/>
        </w:numPr>
        <w:tabs>
          <w:tab w:val="left" w:pos="1201"/>
        </w:tabs>
        <w:autoSpaceDE w:val="0"/>
        <w:autoSpaceDN w:val="0"/>
        <w:spacing w:before="117" w:after="0" w:line="240" w:lineRule="auto"/>
        <w:ind w:right="118"/>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if any prior statement in any form may be put to a witness, identify the statement or the particular passages</w:t>
      </w:r>
      <w:r w:rsidRPr="00346C89">
        <w:rPr>
          <w:rFonts w:ascii="Palatino Linotype" w:eastAsia="Palatino Linotype" w:hAnsi="Palatino Linotype" w:cs="Palatino Linotype"/>
          <w:spacing w:val="-13"/>
          <w:sz w:val="24"/>
          <w:lang w:val="en-US" w:eastAsia="en-US"/>
        </w:rPr>
        <w:t xml:space="preserve"> </w:t>
      </w:r>
      <w:r w:rsidRPr="00346C89">
        <w:rPr>
          <w:rFonts w:ascii="Palatino Linotype" w:eastAsia="Palatino Linotype" w:hAnsi="Palatino Linotype" w:cs="Palatino Linotype"/>
          <w:sz w:val="24"/>
          <w:lang w:val="en-US" w:eastAsia="en-US"/>
        </w:rPr>
        <w:t>therein;</w:t>
      </w:r>
    </w:p>
    <w:p w:rsidR="00346C89" w:rsidRPr="00346C89" w:rsidRDefault="00346C89" w:rsidP="00346C89">
      <w:pPr>
        <w:widowControl w:val="0"/>
        <w:numPr>
          <w:ilvl w:val="0"/>
          <w:numId w:val="4"/>
        </w:numPr>
        <w:tabs>
          <w:tab w:val="left" w:pos="1201"/>
        </w:tabs>
        <w:autoSpaceDE w:val="0"/>
        <w:autoSpaceDN w:val="0"/>
        <w:spacing w:before="120" w:after="0" w:line="240" w:lineRule="auto"/>
        <w:ind w:right="116"/>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the manner in which such statement should be put, and the provision, if any, of the Criminal Procedure (Scotland) Act 1995 (“1995 Act”)  being relied</w:t>
      </w:r>
      <w:r w:rsidRPr="00346C89">
        <w:rPr>
          <w:rFonts w:ascii="Palatino Linotype" w:eastAsia="Palatino Linotype" w:hAnsi="Palatino Linotype" w:cs="Palatino Linotype"/>
          <w:spacing w:val="-2"/>
          <w:sz w:val="24"/>
          <w:lang w:val="en-US" w:eastAsia="en-US"/>
        </w:rPr>
        <w:t xml:space="preserve"> </w:t>
      </w:r>
      <w:r w:rsidRPr="00346C89">
        <w:rPr>
          <w:rFonts w:ascii="Palatino Linotype" w:eastAsia="Palatino Linotype" w:hAnsi="Palatino Linotype" w:cs="Palatino Linotype"/>
          <w:sz w:val="24"/>
          <w:lang w:val="en-US" w:eastAsia="en-US"/>
        </w:rPr>
        <w:t>upon;</w:t>
      </w:r>
    </w:p>
    <w:p w:rsidR="00346C89" w:rsidRPr="00346C89" w:rsidRDefault="00346C89" w:rsidP="00346C89">
      <w:pPr>
        <w:widowControl w:val="0"/>
        <w:numPr>
          <w:ilvl w:val="0"/>
          <w:numId w:val="4"/>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whether an interpreter is</w:t>
      </w:r>
      <w:r w:rsidRPr="00346C89">
        <w:rPr>
          <w:rFonts w:ascii="Palatino Linotype" w:eastAsia="Palatino Linotype" w:hAnsi="Palatino Linotype" w:cs="Palatino Linotype"/>
          <w:spacing w:val="-7"/>
          <w:sz w:val="24"/>
          <w:lang w:val="en-US" w:eastAsia="en-US"/>
        </w:rPr>
        <w:t xml:space="preserve"> </w:t>
      </w:r>
      <w:r w:rsidRPr="00346C89">
        <w:rPr>
          <w:rFonts w:ascii="Palatino Linotype" w:eastAsia="Palatino Linotype" w:hAnsi="Palatino Linotype" w:cs="Palatino Linotype"/>
          <w:sz w:val="24"/>
          <w:lang w:val="en-US" w:eastAsia="en-US"/>
        </w:rPr>
        <w:t>needed;</w:t>
      </w:r>
    </w:p>
    <w:p w:rsidR="00346C89" w:rsidRPr="00346C89" w:rsidRDefault="00346C89" w:rsidP="00346C89">
      <w:pPr>
        <w:widowControl w:val="0"/>
        <w:numPr>
          <w:ilvl w:val="0"/>
          <w:numId w:val="4"/>
        </w:numPr>
        <w:tabs>
          <w:tab w:val="left" w:pos="1201"/>
        </w:tabs>
        <w:autoSpaceDE w:val="0"/>
        <w:autoSpaceDN w:val="0"/>
        <w:spacing w:before="120" w:after="0" w:line="240" w:lineRule="auto"/>
        <w:ind w:right="116"/>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state the communication needs of the witness: identifying the level of the witness’s comprehension, and whether any communication aids or other reasonable adjustments are required (in certain cases it may assist the court to be provided with any expert report addressing these issues and any other relevant issues mentioned in paragraph 11);</w:t>
      </w:r>
      <w:r w:rsidRPr="00346C89">
        <w:rPr>
          <w:rFonts w:ascii="Palatino Linotype" w:eastAsia="Palatino Linotype" w:hAnsi="Palatino Linotype" w:cs="Palatino Linotype"/>
          <w:spacing w:val="-2"/>
          <w:sz w:val="24"/>
          <w:lang w:val="en-US" w:eastAsia="en-US"/>
        </w:rPr>
        <w:t xml:space="preserve"> </w:t>
      </w:r>
      <w:r w:rsidRPr="00346C89">
        <w:rPr>
          <w:rFonts w:ascii="Palatino Linotype" w:eastAsia="Palatino Linotype" w:hAnsi="Palatino Linotype" w:cs="Palatino Linotype"/>
          <w:sz w:val="24"/>
          <w:lang w:val="en-US" w:eastAsia="en-US"/>
        </w:rPr>
        <w:t>and</w:t>
      </w:r>
    </w:p>
    <w:p w:rsidR="00346C89" w:rsidRPr="00346C89" w:rsidRDefault="00346C89" w:rsidP="00346C89">
      <w:pPr>
        <w:widowControl w:val="0"/>
        <w:numPr>
          <w:ilvl w:val="0"/>
          <w:numId w:val="4"/>
        </w:numPr>
        <w:tabs>
          <w:tab w:val="left" w:pos="1201"/>
        </w:tabs>
        <w:autoSpaceDE w:val="0"/>
        <w:autoSpaceDN w:val="0"/>
        <w:spacing w:before="120" w:after="0" w:line="240" w:lineRule="auto"/>
        <w:ind w:right="124"/>
        <w:jc w:val="both"/>
        <w:rPr>
          <w:rFonts w:ascii="Palatino Linotype" w:eastAsia="Palatino Linotype" w:hAnsi="Palatino Linotype" w:cs="Palatino Linotype"/>
          <w:sz w:val="24"/>
          <w:lang w:val="en-US" w:eastAsia="en-US"/>
        </w:rPr>
      </w:pPr>
      <w:proofErr w:type="gramStart"/>
      <w:r w:rsidRPr="00346C89">
        <w:rPr>
          <w:rFonts w:ascii="Palatino Linotype" w:eastAsia="Palatino Linotype" w:hAnsi="Palatino Linotype" w:cs="Palatino Linotype"/>
          <w:sz w:val="24"/>
          <w:lang w:val="en-US" w:eastAsia="en-US"/>
        </w:rPr>
        <w:t>estimate</w:t>
      </w:r>
      <w:proofErr w:type="gramEnd"/>
      <w:r w:rsidRPr="00346C89">
        <w:rPr>
          <w:rFonts w:ascii="Palatino Linotype" w:eastAsia="Palatino Linotype" w:hAnsi="Palatino Linotype" w:cs="Palatino Linotype"/>
          <w:sz w:val="24"/>
          <w:lang w:val="en-US" w:eastAsia="en-US"/>
        </w:rPr>
        <w:t xml:space="preserve"> the likely length of the examination in chief and cross examination.</w:t>
      </w:r>
    </w:p>
    <w:p w:rsidR="00064CB9" w:rsidRDefault="00064CB9" w:rsidP="00346C89">
      <w:pPr>
        <w:widowControl w:val="0"/>
        <w:autoSpaceDE w:val="0"/>
        <w:autoSpaceDN w:val="0"/>
        <w:spacing w:before="24" w:after="0" w:line="240" w:lineRule="auto"/>
        <w:ind w:left="120"/>
        <w:outlineLvl w:val="0"/>
        <w:rPr>
          <w:rFonts w:ascii="Palatino Linotype" w:eastAsia="Palatino Linotype" w:hAnsi="Palatino Linotype" w:cs="Palatino Linotype"/>
          <w:b/>
          <w:bCs/>
          <w:sz w:val="24"/>
          <w:szCs w:val="24"/>
          <w:lang w:val="en-US" w:eastAsia="en-US"/>
        </w:rPr>
      </w:pPr>
    </w:p>
    <w:p w:rsidR="00346C89" w:rsidRPr="00346C89" w:rsidRDefault="00346C89" w:rsidP="00346C89">
      <w:pPr>
        <w:widowControl w:val="0"/>
        <w:autoSpaceDE w:val="0"/>
        <w:autoSpaceDN w:val="0"/>
        <w:spacing w:before="24" w:after="0" w:line="240" w:lineRule="auto"/>
        <w:ind w:left="120"/>
        <w:outlineLvl w:val="0"/>
        <w:rPr>
          <w:rFonts w:ascii="Palatino Linotype" w:eastAsia="Palatino Linotype" w:hAnsi="Palatino Linotype" w:cs="Palatino Linotype"/>
          <w:b/>
          <w:bCs/>
          <w:sz w:val="24"/>
          <w:szCs w:val="24"/>
          <w:lang w:val="en-US" w:eastAsia="en-US"/>
        </w:rPr>
      </w:pPr>
      <w:r w:rsidRPr="00346C89">
        <w:rPr>
          <w:rFonts w:ascii="Palatino Linotype" w:eastAsia="Palatino Linotype" w:hAnsi="Palatino Linotype" w:cs="Palatino Linotype"/>
          <w:b/>
          <w:bCs/>
          <w:sz w:val="24"/>
          <w:szCs w:val="24"/>
          <w:lang w:val="en-US" w:eastAsia="en-US"/>
        </w:rPr>
        <w:t>Decision on the application at preliminary hearing</w:t>
      </w:r>
    </w:p>
    <w:p w:rsidR="00346C89" w:rsidRPr="00346C89" w:rsidRDefault="00346C89" w:rsidP="00346C89">
      <w:pPr>
        <w:widowControl w:val="0"/>
        <w:autoSpaceDE w:val="0"/>
        <w:autoSpaceDN w:val="0"/>
        <w:spacing w:before="3" w:after="0" w:line="240" w:lineRule="auto"/>
        <w:rPr>
          <w:rFonts w:ascii="Palatino Linotype" w:eastAsia="Palatino Linotype" w:hAnsi="Palatino Linotype" w:cs="Palatino Linotype"/>
          <w:b/>
          <w:sz w:val="24"/>
          <w:szCs w:val="24"/>
          <w:lang w:val="en-US" w:eastAsia="en-US"/>
        </w:rPr>
      </w:pPr>
    </w:p>
    <w:p w:rsidR="00346C89" w:rsidRPr="00346C89" w:rsidRDefault="00346C89" w:rsidP="00346C89">
      <w:pPr>
        <w:widowControl w:val="0"/>
        <w:numPr>
          <w:ilvl w:val="0"/>
          <w:numId w:val="6"/>
        </w:numPr>
        <w:tabs>
          <w:tab w:val="left" w:pos="840"/>
          <w:tab w:val="left" w:pos="841"/>
        </w:tabs>
        <w:autoSpaceDE w:val="0"/>
        <w:autoSpaceDN w:val="0"/>
        <w:spacing w:after="0" w:line="240" w:lineRule="auto"/>
        <w:ind w:right="135"/>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If the court appoints the VW notice or application to be disposed of at a hearing the solicitor must, forthwith, inform the Clerk of Justiciary and the Electronic Service Delivery Unit of Scottish Courts and Tribunals Service of the intention to seek authority to have the evidence of a vulnerable witness taken by a commissioner and check the availability of a suitable</w:t>
      </w:r>
      <w:r w:rsidRPr="00346C89">
        <w:rPr>
          <w:rFonts w:ascii="Palatino Linotype" w:eastAsia="Palatino Linotype" w:hAnsi="Palatino Linotype" w:cs="Palatino Linotype"/>
          <w:spacing w:val="-5"/>
          <w:sz w:val="24"/>
          <w:lang w:val="en-US" w:eastAsia="en-US"/>
        </w:rPr>
        <w:t xml:space="preserve"> </w:t>
      </w:r>
      <w:r w:rsidRPr="00346C89">
        <w:rPr>
          <w:rFonts w:ascii="Palatino Linotype" w:eastAsia="Palatino Linotype" w:hAnsi="Palatino Linotype" w:cs="Palatino Linotype"/>
          <w:sz w:val="24"/>
          <w:lang w:val="en-US" w:eastAsia="en-US"/>
        </w:rPr>
        <w:t>venue.</w:t>
      </w:r>
    </w:p>
    <w:p w:rsidR="00346C89" w:rsidRPr="00346C89" w:rsidRDefault="00346C89" w:rsidP="00346C89">
      <w:pPr>
        <w:widowControl w:val="0"/>
        <w:autoSpaceDE w:val="0"/>
        <w:autoSpaceDN w:val="0"/>
        <w:spacing w:before="13" w:after="0" w:line="240" w:lineRule="auto"/>
        <w:rPr>
          <w:rFonts w:ascii="Palatino Linotype" w:eastAsia="Palatino Linotype" w:hAnsi="Palatino Linotype" w:cs="Palatino Linotype"/>
          <w:sz w:val="23"/>
          <w:szCs w:val="24"/>
          <w:lang w:val="en-US" w:eastAsia="en-US"/>
        </w:rPr>
      </w:pPr>
    </w:p>
    <w:p w:rsidR="00346C89" w:rsidRPr="00346C89" w:rsidRDefault="00346C89" w:rsidP="00346C89">
      <w:pPr>
        <w:widowControl w:val="0"/>
        <w:numPr>
          <w:ilvl w:val="0"/>
          <w:numId w:val="6"/>
        </w:numPr>
        <w:tabs>
          <w:tab w:val="left" w:pos="841"/>
        </w:tabs>
        <w:autoSpaceDE w:val="0"/>
        <w:autoSpaceDN w:val="0"/>
        <w:spacing w:after="0" w:line="240" w:lineRule="auto"/>
        <w:ind w:right="120"/>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At the hearing the court will expect to be addressed on all matters set out in the VW notice or application. Parties will be expected to be in a position to assist the court in its consideration of the following</w:t>
      </w:r>
      <w:r w:rsidRPr="00346C89">
        <w:rPr>
          <w:rFonts w:ascii="Palatino Linotype" w:eastAsia="Palatino Linotype" w:hAnsi="Palatino Linotype" w:cs="Palatino Linotype"/>
          <w:spacing w:val="-24"/>
          <w:sz w:val="24"/>
          <w:lang w:val="en-US" w:eastAsia="en-US"/>
        </w:rPr>
        <w:t xml:space="preserve"> </w:t>
      </w:r>
      <w:r w:rsidRPr="00346C89">
        <w:rPr>
          <w:rFonts w:ascii="Palatino Linotype" w:eastAsia="Palatino Linotype" w:hAnsi="Palatino Linotype" w:cs="Palatino Linotype"/>
          <w:sz w:val="24"/>
          <w:lang w:val="en-US" w:eastAsia="en-US"/>
        </w:rPr>
        <w:t>matters:</w:t>
      </w: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24"/>
          <w:szCs w:val="24"/>
          <w:lang w:val="en-US" w:eastAsia="en-US"/>
        </w:rPr>
      </w:pPr>
    </w:p>
    <w:p w:rsidR="00346C89" w:rsidRPr="00346C89" w:rsidRDefault="00346C89" w:rsidP="00346C89">
      <w:pPr>
        <w:widowControl w:val="0"/>
        <w:numPr>
          <w:ilvl w:val="0"/>
          <w:numId w:val="3"/>
        </w:numPr>
        <w:tabs>
          <w:tab w:val="left" w:pos="1200"/>
          <w:tab w:val="left" w:pos="1201"/>
        </w:tabs>
        <w:autoSpaceDE w:val="0"/>
        <w:autoSpaceDN w:val="0"/>
        <w:spacing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whether the witness will affirm or take the</w:t>
      </w:r>
      <w:r w:rsidRPr="00346C89">
        <w:rPr>
          <w:rFonts w:ascii="Palatino Linotype" w:eastAsia="Palatino Linotype" w:hAnsi="Palatino Linotype" w:cs="Palatino Linotype"/>
          <w:spacing w:val="-12"/>
          <w:sz w:val="24"/>
          <w:lang w:val="en-US" w:eastAsia="en-US"/>
        </w:rPr>
        <w:t xml:space="preserve"> </w:t>
      </w:r>
      <w:r w:rsidRPr="00346C89">
        <w:rPr>
          <w:rFonts w:ascii="Palatino Linotype" w:eastAsia="Palatino Linotype" w:hAnsi="Palatino Linotype" w:cs="Palatino Linotype"/>
          <w:sz w:val="24"/>
          <w:lang w:val="en-US" w:eastAsia="en-US"/>
        </w:rPr>
        <w:t>oath;</w:t>
      </w:r>
    </w:p>
    <w:p w:rsidR="00346C89" w:rsidRPr="00346C89" w:rsidRDefault="00346C89" w:rsidP="00346C89">
      <w:pPr>
        <w:widowControl w:val="0"/>
        <w:numPr>
          <w:ilvl w:val="0"/>
          <w:numId w:val="3"/>
        </w:numPr>
        <w:tabs>
          <w:tab w:val="left" w:pos="1200"/>
          <w:tab w:val="left" w:pos="1201"/>
        </w:tabs>
        <w:autoSpaceDE w:val="0"/>
        <w:autoSpaceDN w:val="0"/>
        <w:spacing w:before="119" w:after="0" w:line="240" w:lineRule="auto"/>
        <w:ind w:right="120"/>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location of the commission which is the most suitable in the interests of the</w:t>
      </w:r>
      <w:r w:rsidRPr="00346C89">
        <w:rPr>
          <w:rFonts w:ascii="Palatino Linotype" w:eastAsia="Palatino Linotype" w:hAnsi="Palatino Linotype" w:cs="Palatino Linotype"/>
          <w:spacing w:val="-7"/>
          <w:sz w:val="24"/>
          <w:lang w:val="en-US" w:eastAsia="en-US"/>
        </w:rPr>
        <w:t xml:space="preserve"> </w:t>
      </w:r>
      <w:r w:rsidRPr="00346C89">
        <w:rPr>
          <w:rFonts w:ascii="Palatino Linotype" w:eastAsia="Palatino Linotype" w:hAnsi="Palatino Linotype" w:cs="Palatino Linotype"/>
          <w:sz w:val="24"/>
          <w:lang w:val="en-US" w:eastAsia="en-US"/>
        </w:rPr>
        <w:t>witness;</w:t>
      </w:r>
    </w:p>
    <w:p w:rsidR="00346C89" w:rsidRPr="00346C89" w:rsidRDefault="00346C89" w:rsidP="00346C89">
      <w:pPr>
        <w:widowControl w:val="0"/>
        <w:numPr>
          <w:ilvl w:val="0"/>
          <w:numId w:val="3"/>
        </w:numPr>
        <w:tabs>
          <w:tab w:val="left" w:pos="1200"/>
          <w:tab w:val="left" w:pos="1201"/>
        </w:tabs>
        <w:autoSpaceDE w:val="0"/>
        <w:autoSpaceDN w:val="0"/>
        <w:spacing w:before="117" w:after="0" w:line="240" w:lineRule="auto"/>
        <w:ind w:right="118"/>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timing of the commission which is the most suitable in the interests of the</w:t>
      </w:r>
      <w:r w:rsidRPr="00346C89">
        <w:rPr>
          <w:rFonts w:ascii="Palatino Linotype" w:eastAsia="Palatino Linotype" w:hAnsi="Palatino Linotype" w:cs="Palatino Linotype"/>
          <w:spacing w:val="-7"/>
          <w:sz w:val="24"/>
          <w:lang w:val="en-US" w:eastAsia="en-US"/>
        </w:rPr>
        <w:t xml:space="preserve"> </w:t>
      </w:r>
      <w:r w:rsidRPr="00346C89">
        <w:rPr>
          <w:rFonts w:ascii="Palatino Linotype" w:eastAsia="Palatino Linotype" w:hAnsi="Palatino Linotype" w:cs="Palatino Linotype"/>
          <w:sz w:val="24"/>
          <w:lang w:val="en-US" w:eastAsia="en-US"/>
        </w:rPr>
        <w:t>witness;</w:t>
      </w:r>
    </w:p>
    <w:p w:rsidR="00346C89" w:rsidRPr="00346C89" w:rsidRDefault="00346C89" w:rsidP="00346C89">
      <w:pPr>
        <w:widowControl w:val="0"/>
        <w:numPr>
          <w:ilvl w:val="0"/>
          <w:numId w:val="3"/>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pre-commission familiarisation with the</w:t>
      </w:r>
      <w:r w:rsidRPr="00346C89">
        <w:rPr>
          <w:rFonts w:ascii="Palatino Linotype" w:eastAsia="Palatino Linotype" w:hAnsi="Palatino Linotype" w:cs="Palatino Linotype"/>
          <w:spacing w:val="-18"/>
          <w:sz w:val="24"/>
          <w:lang w:val="en-US" w:eastAsia="en-US"/>
        </w:rPr>
        <w:t xml:space="preserve"> </w:t>
      </w:r>
      <w:r w:rsidRPr="00346C89">
        <w:rPr>
          <w:rFonts w:ascii="Palatino Linotype" w:eastAsia="Palatino Linotype" w:hAnsi="Palatino Linotype" w:cs="Palatino Linotype"/>
          <w:sz w:val="24"/>
          <w:lang w:val="en-US" w:eastAsia="en-US"/>
        </w:rPr>
        <w:t>location;</w:t>
      </w:r>
    </w:p>
    <w:p w:rsidR="00346C89" w:rsidRPr="00346C89" w:rsidRDefault="00346C89" w:rsidP="00346C89">
      <w:pPr>
        <w:widowControl w:val="0"/>
        <w:numPr>
          <w:ilvl w:val="0"/>
          <w:numId w:val="3"/>
        </w:numPr>
        <w:tabs>
          <w:tab w:val="left" w:pos="1200"/>
          <w:tab w:val="left" w:pos="1201"/>
        </w:tabs>
        <w:autoSpaceDE w:val="0"/>
        <w:autoSpaceDN w:val="0"/>
        <w:spacing w:before="120" w:after="0" w:line="240" w:lineRule="auto"/>
        <w:ind w:right="116"/>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where the accused is to observe the commission and how he is to communicate any instructions to his</w:t>
      </w:r>
      <w:r w:rsidRPr="00346C89">
        <w:rPr>
          <w:rFonts w:ascii="Palatino Linotype" w:eastAsia="Palatino Linotype" w:hAnsi="Palatino Linotype" w:cs="Palatino Linotype"/>
          <w:spacing w:val="-14"/>
          <w:sz w:val="24"/>
          <w:lang w:val="en-US" w:eastAsia="en-US"/>
        </w:rPr>
        <w:t xml:space="preserve"> </w:t>
      </w:r>
      <w:r w:rsidRPr="00346C89">
        <w:rPr>
          <w:rFonts w:ascii="Palatino Linotype" w:eastAsia="Palatino Linotype" w:hAnsi="Palatino Linotype" w:cs="Palatino Linotype"/>
          <w:sz w:val="24"/>
          <w:lang w:val="en-US" w:eastAsia="en-US"/>
        </w:rPr>
        <w:t>advisors;</w:t>
      </w:r>
    </w:p>
    <w:p w:rsidR="00346C89" w:rsidRPr="00346C89" w:rsidRDefault="00346C89" w:rsidP="00346C89">
      <w:pPr>
        <w:widowControl w:val="0"/>
        <w:numPr>
          <w:ilvl w:val="0"/>
          <w:numId w:val="3"/>
        </w:numPr>
        <w:tabs>
          <w:tab w:val="left" w:pos="1201"/>
        </w:tabs>
        <w:autoSpaceDE w:val="0"/>
        <w:autoSpaceDN w:val="0"/>
        <w:spacing w:before="120" w:after="0" w:line="240" w:lineRule="auto"/>
        <w:ind w:right="114"/>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if the commission is to take place within a court building in which the witness and the accused will both be present, what arrangements will be put in place to ensure that they do not come into contact with each</w:t>
      </w:r>
      <w:r w:rsidRPr="00346C89">
        <w:rPr>
          <w:rFonts w:ascii="Palatino Linotype" w:eastAsia="Palatino Linotype" w:hAnsi="Palatino Linotype" w:cs="Palatino Linotype"/>
          <w:spacing w:val="-2"/>
          <w:sz w:val="24"/>
          <w:lang w:val="en-US" w:eastAsia="en-US"/>
        </w:rPr>
        <w:t xml:space="preserve"> </w:t>
      </w:r>
      <w:r w:rsidRPr="00346C89">
        <w:rPr>
          <w:rFonts w:ascii="Palatino Linotype" w:eastAsia="Palatino Linotype" w:hAnsi="Palatino Linotype" w:cs="Palatino Linotype"/>
          <w:sz w:val="24"/>
          <w:lang w:val="en-US" w:eastAsia="en-US"/>
        </w:rPr>
        <w:t>other;</w:t>
      </w:r>
    </w:p>
    <w:p w:rsidR="00346C89" w:rsidRPr="00346C89" w:rsidRDefault="00346C89" w:rsidP="00346C89">
      <w:pPr>
        <w:widowControl w:val="0"/>
        <w:numPr>
          <w:ilvl w:val="0"/>
          <w:numId w:val="3"/>
        </w:numPr>
        <w:tabs>
          <w:tab w:val="left" w:pos="1200"/>
          <w:tab w:val="left" w:pos="1201"/>
        </w:tabs>
        <w:autoSpaceDE w:val="0"/>
        <w:autoSpaceDN w:val="0"/>
        <w:spacing w:before="114" w:after="0" w:line="322" w:lineRule="exact"/>
        <w:ind w:right="124"/>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reasonable adjustments which may be required to enable effective participation by the</w:t>
      </w:r>
      <w:r w:rsidRPr="00346C89">
        <w:rPr>
          <w:rFonts w:ascii="Palatino Linotype" w:eastAsia="Palatino Linotype" w:hAnsi="Palatino Linotype" w:cs="Palatino Linotype"/>
          <w:spacing w:val="-13"/>
          <w:sz w:val="24"/>
          <w:lang w:val="en-US" w:eastAsia="en-US"/>
        </w:rPr>
        <w:t xml:space="preserve"> </w:t>
      </w:r>
      <w:r w:rsidRPr="00346C89">
        <w:rPr>
          <w:rFonts w:ascii="Palatino Linotype" w:eastAsia="Palatino Linotype" w:hAnsi="Palatino Linotype" w:cs="Palatino Linotype"/>
          <w:sz w:val="24"/>
          <w:lang w:val="en-US" w:eastAsia="en-US"/>
        </w:rPr>
        <w:t>witness;</w:t>
      </w:r>
    </w:p>
    <w:p w:rsidR="00346C89" w:rsidRPr="00346C89" w:rsidRDefault="00346C89" w:rsidP="00346C89">
      <w:pPr>
        <w:widowControl w:val="0"/>
        <w:numPr>
          <w:ilvl w:val="0"/>
          <w:numId w:val="3"/>
        </w:numPr>
        <w:tabs>
          <w:tab w:val="left" w:pos="1200"/>
          <w:tab w:val="left" w:pos="1201"/>
        </w:tabs>
        <w:autoSpaceDE w:val="0"/>
        <w:autoSpaceDN w:val="0"/>
        <w:spacing w:before="127" w:after="0" w:line="240" w:lineRule="auto"/>
        <w:ind w:right="118"/>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appropriate form of questions to be asked (the court may consider asking parties to prepare questions in</w:t>
      </w:r>
      <w:r w:rsidRPr="00346C89">
        <w:rPr>
          <w:rFonts w:ascii="Palatino Linotype" w:eastAsia="Palatino Linotype" w:hAnsi="Palatino Linotype" w:cs="Palatino Linotype"/>
          <w:spacing w:val="-17"/>
          <w:sz w:val="24"/>
          <w:lang w:val="en-US" w:eastAsia="en-US"/>
        </w:rPr>
        <w:t xml:space="preserve"> </w:t>
      </w:r>
      <w:r w:rsidRPr="00346C89">
        <w:rPr>
          <w:rFonts w:ascii="Palatino Linotype" w:eastAsia="Palatino Linotype" w:hAnsi="Palatino Linotype" w:cs="Palatino Linotype"/>
          <w:sz w:val="24"/>
          <w:lang w:val="en-US" w:eastAsia="en-US"/>
        </w:rPr>
        <w:t>writing);</w:t>
      </w:r>
    </w:p>
    <w:p w:rsidR="00346C89" w:rsidRPr="00346C89" w:rsidRDefault="00346C89" w:rsidP="00346C89">
      <w:pPr>
        <w:widowControl w:val="0"/>
        <w:numPr>
          <w:ilvl w:val="0"/>
          <w:numId w:val="3"/>
        </w:numPr>
        <w:tabs>
          <w:tab w:val="left" w:pos="1200"/>
          <w:tab w:val="left" w:pos="1201"/>
        </w:tabs>
        <w:autoSpaceDE w:val="0"/>
        <w:autoSpaceDN w:val="0"/>
        <w:spacing w:before="120" w:after="0" w:line="240" w:lineRule="auto"/>
        <w:ind w:right="118"/>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length of examination-in-chief and cross examination, and whether breaks may be</w:t>
      </w:r>
      <w:r w:rsidRPr="00346C89">
        <w:rPr>
          <w:rFonts w:ascii="Palatino Linotype" w:eastAsia="Palatino Linotype" w:hAnsi="Palatino Linotype" w:cs="Palatino Linotype"/>
          <w:spacing w:val="-8"/>
          <w:sz w:val="24"/>
          <w:lang w:val="en-US" w:eastAsia="en-US"/>
        </w:rPr>
        <w:t xml:space="preserve"> </w:t>
      </w:r>
      <w:r w:rsidRPr="00346C89">
        <w:rPr>
          <w:rFonts w:ascii="Palatino Linotype" w:eastAsia="Palatino Linotype" w:hAnsi="Palatino Linotype" w:cs="Palatino Linotype"/>
          <w:sz w:val="24"/>
          <w:lang w:val="en-US" w:eastAsia="en-US"/>
        </w:rPr>
        <w:t>required;</w:t>
      </w:r>
    </w:p>
    <w:p w:rsidR="00346C89" w:rsidRPr="00346C89" w:rsidRDefault="00346C89" w:rsidP="00346C89">
      <w:pPr>
        <w:widowControl w:val="0"/>
        <w:numPr>
          <w:ilvl w:val="0"/>
          <w:numId w:val="3"/>
        </w:numPr>
        <w:tabs>
          <w:tab w:val="left" w:pos="1200"/>
          <w:tab w:val="left" w:pos="1201"/>
        </w:tabs>
        <w:autoSpaceDE w:val="0"/>
        <w:autoSpaceDN w:val="0"/>
        <w:spacing w:before="120" w:after="0" w:line="240" w:lineRule="auto"/>
        <w:ind w:right="120"/>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how requests for unscheduled breaks may be notified and dealt with;</w:t>
      </w:r>
    </w:p>
    <w:p w:rsidR="00346C89" w:rsidRPr="00346C89" w:rsidRDefault="00346C89" w:rsidP="00346C89">
      <w:pPr>
        <w:widowControl w:val="0"/>
        <w:numPr>
          <w:ilvl w:val="0"/>
          <w:numId w:val="3"/>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potential objections, and whether they can be</w:t>
      </w:r>
      <w:r w:rsidRPr="00346C89">
        <w:rPr>
          <w:rFonts w:ascii="Palatino Linotype" w:eastAsia="Palatino Linotype" w:hAnsi="Palatino Linotype" w:cs="Palatino Linotype"/>
          <w:spacing w:val="-9"/>
          <w:sz w:val="24"/>
          <w:lang w:val="en-US" w:eastAsia="en-US"/>
        </w:rPr>
        <w:t xml:space="preserve"> </w:t>
      </w:r>
      <w:r w:rsidRPr="00346C89">
        <w:rPr>
          <w:rFonts w:ascii="Palatino Linotype" w:eastAsia="Palatino Linotype" w:hAnsi="Palatino Linotype" w:cs="Palatino Linotype"/>
          <w:sz w:val="24"/>
          <w:lang w:val="en-US" w:eastAsia="en-US"/>
        </w:rPr>
        <w:t>avoided;</w:t>
      </w:r>
    </w:p>
    <w:p w:rsidR="00346C89" w:rsidRPr="00346C89" w:rsidRDefault="00346C89" w:rsidP="00346C89">
      <w:pPr>
        <w:widowControl w:val="0"/>
        <w:numPr>
          <w:ilvl w:val="0"/>
          <w:numId w:val="3"/>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lines of inquiry to be</w:t>
      </w:r>
      <w:r w:rsidRPr="00346C89">
        <w:rPr>
          <w:rFonts w:ascii="Palatino Linotype" w:eastAsia="Palatino Linotype" w:hAnsi="Palatino Linotype" w:cs="Palatino Linotype"/>
          <w:spacing w:val="-13"/>
          <w:sz w:val="24"/>
          <w:lang w:val="en-US" w:eastAsia="en-US"/>
        </w:rPr>
        <w:t xml:space="preserve"> </w:t>
      </w:r>
      <w:r w:rsidRPr="00346C89">
        <w:rPr>
          <w:rFonts w:ascii="Palatino Linotype" w:eastAsia="Palatino Linotype" w:hAnsi="Palatino Linotype" w:cs="Palatino Linotype"/>
          <w:sz w:val="24"/>
          <w:lang w:val="en-US" w:eastAsia="en-US"/>
        </w:rPr>
        <w:t>pursued;</w:t>
      </w:r>
    </w:p>
    <w:p w:rsidR="00346C89" w:rsidRPr="00346C89" w:rsidRDefault="00346C89" w:rsidP="00346C89">
      <w:pPr>
        <w:widowControl w:val="0"/>
        <w:numPr>
          <w:ilvl w:val="0"/>
          <w:numId w:val="3"/>
        </w:numPr>
        <w:tabs>
          <w:tab w:val="left" w:pos="1200"/>
          <w:tab w:val="left" w:pos="1201"/>
        </w:tabs>
        <w:autoSpaceDE w:val="0"/>
        <w:autoSpaceDN w:val="0"/>
        <w:spacing w:before="114" w:after="0" w:line="322" w:lineRule="exact"/>
        <w:ind w:right="116"/>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scope of any questioning permitted under s275 of the 1995 Act, and how it is to be</w:t>
      </w:r>
      <w:r w:rsidRPr="00346C89">
        <w:rPr>
          <w:rFonts w:ascii="Palatino Linotype" w:eastAsia="Palatino Linotype" w:hAnsi="Palatino Linotype" w:cs="Palatino Linotype"/>
          <w:spacing w:val="-8"/>
          <w:sz w:val="24"/>
          <w:lang w:val="en-US" w:eastAsia="en-US"/>
        </w:rPr>
        <w:t xml:space="preserve"> </w:t>
      </w:r>
      <w:r w:rsidRPr="00346C89">
        <w:rPr>
          <w:rFonts w:ascii="Palatino Linotype" w:eastAsia="Palatino Linotype" w:hAnsi="Palatino Linotype" w:cs="Palatino Linotype"/>
          <w:sz w:val="24"/>
          <w:lang w:val="en-US" w:eastAsia="en-US"/>
        </w:rPr>
        <w:t>addressed;</w:t>
      </w:r>
    </w:p>
    <w:p w:rsidR="00346C89" w:rsidRPr="00346C89" w:rsidRDefault="00346C89" w:rsidP="00346C89">
      <w:pPr>
        <w:widowControl w:val="0"/>
        <w:numPr>
          <w:ilvl w:val="0"/>
          <w:numId w:val="3"/>
        </w:numPr>
        <w:tabs>
          <w:tab w:val="left" w:pos="1200"/>
          <w:tab w:val="left" w:pos="1201"/>
        </w:tabs>
        <w:autoSpaceDE w:val="0"/>
        <w:autoSpaceDN w:val="0"/>
        <w:spacing w:before="227"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scope of any questions relating to prior</w:t>
      </w:r>
      <w:r w:rsidRPr="00346C89">
        <w:rPr>
          <w:rFonts w:ascii="Palatino Linotype" w:eastAsia="Palatino Linotype" w:hAnsi="Palatino Linotype" w:cs="Palatino Linotype"/>
          <w:spacing w:val="-15"/>
          <w:sz w:val="24"/>
          <w:lang w:val="en-US" w:eastAsia="en-US"/>
        </w:rPr>
        <w:t xml:space="preserve"> </w:t>
      </w:r>
      <w:r w:rsidRPr="00346C89">
        <w:rPr>
          <w:rFonts w:ascii="Palatino Linotype" w:eastAsia="Palatino Linotype" w:hAnsi="Palatino Linotype" w:cs="Palatino Linotype"/>
          <w:sz w:val="24"/>
          <w:lang w:val="en-US" w:eastAsia="en-US"/>
        </w:rPr>
        <w:t>statements;</w:t>
      </w:r>
    </w:p>
    <w:p w:rsidR="00346C89" w:rsidRPr="00346C89" w:rsidRDefault="00346C89" w:rsidP="00346C89">
      <w:pPr>
        <w:widowControl w:val="0"/>
        <w:numPr>
          <w:ilvl w:val="0"/>
          <w:numId w:val="3"/>
        </w:numPr>
        <w:tabs>
          <w:tab w:val="left" w:pos="1201"/>
        </w:tabs>
        <w:autoSpaceDE w:val="0"/>
        <w:autoSpaceDN w:val="0"/>
        <w:spacing w:before="120" w:after="0" w:line="240" w:lineRule="auto"/>
        <w:ind w:right="119"/>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where any documents or label productions are to be put to the witness, how this is to be managed and whether any special equipment or assistance is</w:t>
      </w:r>
      <w:r w:rsidRPr="00346C89">
        <w:rPr>
          <w:rFonts w:ascii="Palatino Linotype" w:eastAsia="Palatino Linotype" w:hAnsi="Palatino Linotype" w:cs="Palatino Linotype"/>
          <w:spacing w:val="-11"/>
          <w:sz w:val="24"/>
          <w:lang w:val="en-US" w:eastAsia="en-US"/>
        </w:rPr>
        <w:t xml:space="preserve"> </w:t>
      </w:r>
      <w:r w:rsidRPr="00346C89">
        <w:rPr>
          <w:rFonts w:ascii="Palatino Linotype" w:eastAsia="Palatino Linotype" w:hAnsi="Palatino Linotype" w:cs="Palatino Linotype"/>
          <w:sz w:val="24"/>
          <w:lang w:val="en-US" w:eastAsia="en-US"/>
        </w:rPr>
        <w:t>required;</w:t>
      </w:r>
    </w:p>
    <w:p w:rsidR="00346C89" w:rsidRPr="00346C89" w:rsidRDefault="00346C89" w:rsidP="00346C89">
      <w:pPr>
        <w:widowControl w:val="0"/>
        <w:numPr>
          <w:ilvl w:val="0"/>
          <w:numId w:val="3"/>
        </w:numPr>
        <w:tabs>
          <w:tab w:val="left" w:pos="1201"/>
        </w:tabs>
        <w:autoSpaceDE w:val="0"/>
        <w:autoSpaceDN w:val="0"/>
        <w:spacing w:before="114" w:after="0" w:line="322" w:lineRule="exact"/>
        <w:ind w:right="121"/>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whether any special equipment (for example, to show CCTV  images to the witness) may be</w:t>
      </w:r>
      <w:r w:rsidRPr="00346C89">
        <w:rPr>
          <w:rFonts w:ascii="Palatino Linotype" w:eastAsia="Palatino Linotype" w:hAnsi="Palatino Linotype" w:cs="Palatino Linotype"/>
          <w:spacing w:val="-10"/>
          <w:sz w:val="24"/>
          <w:lang w:val="en-US" w:eastAsia="en-US"/>
        </w:rPr>
        <w:t xml:space="preserve"> </w:t>
      </w:r>
      <w:r w:rsidRPr="00346C89">
        <w:rPr>
          <w:rFonts w:ascii="Palatino Linotype" w:eastAsia="Palatino Linotype" w:hAnsi="Palatino Linotype" w:cs="Palatino Linotype"/>
          <w:sz w:val="24"/>
          <w:lang w:val="en-US" w:eastAsia="en-US"/>
        </w:rPr>
        <w:t>required;</w:t>
      </w:r>
    </w:p>
    <w:p w:rsidR="00346C89" w:rsidRPr="00346C89" w:rsidRDefault="00346C89" w:rsidP="00346C89">
      <w:pPr>
        <w:widowControl w:val="0"/>
        <w:numPr>
          <w:ilvl w:val="0"/>
          <w:numId w:val="3"/>
        </w:numPr>
        <w:tabs>
          <w:tab w:val="left" w:pos="1201"/>
        </w:tabs>
        <w:autoSpaceDE w:val="0"/>
        <w:autoSpaceDN w:val="0"/>
        <w:spacing w:before="127" w:after="0" w:line="240" w:lineRule="auto"/>
        <w:ind w:right="120"/>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scope for any further agreement between the parties which might shorten the length of the commission or the issues to be addressed;</w:t>
      </w:r>
    </w:p>
    <w:p w:rsidR="00346C89" w:rsidRDefault="00346C89" w:rsidP="00346C89">
      <w:pPr>
        <w:widowControl w:val="0"/>
        <w:numPr>
          <w:ilvl w:val="0"/>
          <w:numId w:val="3"/>
        </w:numPr>
        <w:tabs>
          <w:tab w:val="left" w:pos="1201"/>
        </w:tabs>
        <w:autoSpaceDE w:val="0"/>
        <w:autoSpaceDN w:val="0"/>
        <w:spacing w:before="119" w:after="0" w:line="240" w:lineRule="auto"/>
        <w:ind w:right="124"/>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where there are multiple accused, how repetitious questioning may be</w:t>
      </w:r>
      <w:r w:rsidRPr="00346C89">
        <w:rPr>
          <w:rFonts w:ascii="Palatino Linotype" w:eastAsia="Palatino Linotype" w:hAnsi="Palatino Linotype" w:cs="Palatino Linotype"/>
          <w:spacing w:val="-4"/>
          <w:sz w:val="24"/>
          <w:lang w:val="en-US" w:eastAsia="en-US"/>
        </w:rPr>
        <w:t xml:space="preserve"> </w:t>
      </w:r>
      <w:r w:rsidRPr="00346C89">
        <w:rPr>
          <w:rFonts w:ascii="Palatino Linotype" w:eastAsia="Palatino Linotype" w:hAnsi="Palatino Linotype" w:cs="Palatino Linotype"/>
          <w:sz w:val="24"/>
          <w:lang w:val="en-US" w:eastAsia="en-US"/>
        </w:rPr>
        <w:t>avoided;</w:t>
      </w:r>
    </w:p>
    <w:p w:rsidR="009E37E5" w:rsidRDefault="009E37E5" w:rsidP="009E37E5">
      <w:pPr>
        <w:widowControl w:val="0"/>
        <w:tabs>
          <w:tab w:val="left" w:pos="1201"/>
        </w:tabs>
        <w:autoSpaceDE w:val="0"/>
        <w:autoSpaceDN w:val="0"/>
        <w:spacing w:before="119" w:after="0" w:line="240" w:lineRule="auto"/>
        <w:ind w:right="124"/>
        <w:jc w:val="both"/>
        <w:rPr>
          <w:rFonts w:ascii="Palatino Linotype" w:eastAsia="Palatino Linotype" w:hAnsi="Palatino Linotype" w:cs="Palatino Linotype"/>
          <w:sz w:val="24"/>
          <w:lang w:val="en-US" w:eastAsia="en-US"/>
        </w:rPr>
      </w:pPr>
    </w:p>
    <w:p w:rsidR="009E37E5" w:rsidRPr="00346C89" w:rsidRDefault="009E37E5" w:rsidP="009E37E5">
      <w:pPr>
        <w:widowControl w:val="0"/>
        <w:tabs>
          <w:tab w:val="left" w:pos="1201"/>
        </w:tabs>
        <w:autoSpaceDE w:val="0"/>
        <w:autoSpaceDN w:val="0"/>
        <w:spacing w:before="119" w:after="0" w:line="240" w:lineRule="auto"/>
        <w:ind w:right="124"/>
        <w:jc w:val="both"/>
        <w:rPr>
          <w:rFonts w:ascii="Palatino Linotype" w:eastAsia="Palatino Linotype" w:hAnsi="Palatino Linotype" w:cs="Palatino Linotype"/>
          <w:sz w:val="24"/>
          <w:lang w:val="en-US" w:eastAsia="en-US"/>
        </w:rPr>
      </w:pPr>
    </w:p>
    <w:p w:rsidR="00346C89" w:rsidRPr="00346C89" w:rsidRDefault="00346C89" w:rsidP="00346C89">
      <w:pPr>
        <w:widowControl w:val="0"/>
        <w:numPr>
          <w:ilvl w:val="0"/>
          <w:numId w:val="3"/>
        </w:numPr>
        <w:tabs>
          <w:tab w:val="left" w:pos="1201"/>
        </w:tabs>
        <w:autoSpaceDE w:val="0"/>
        <w:autoSpaceDN w:val="0"/>
        <w:spacing w:before="120" w:after="0" w:line="240" w:lineRule="auto"/>
        <w:ind w:right="115"/>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the extent to which it is necessary to “put the defence case” to the witness (parties are invited to have regard to the observations of  the Court of Appeal in </w:t>
      </w:r>
      <w:r w:rsidRPr="00346C89">
        <w:rPr>
          <w:rFonts w:ascii="Palatino Linotype" w:eastAsia="Palatino Linotype" w:hAnsi="Palatino Linotype" w:cs="Palatino Linotype"/>
          <w:i/>
          <w:sz w:val="24"/>
          <w:lang w:val="en-US" w:eastAsia="en-US"/>
        </w:rPr>
        <w:t xml:space="preserve">R v </w:t>
      </w:r>
      <w:proofErr w:type="spellStart"/>
      <w:r w:rsidRPr="00346C89">
        <w:rPr>
          <w:rFonts w:ascii="Palatino Linotype" w:eastAsia="Palatino Linotype" w:hAnsi="Palatino Linotype" w:cs="Palatino Linotype"/>
          <w:i/>
          <w:sz w:val="24"/>
          <w:lang w:val="en-US" w:eastAsia="en-US"/>
        </w:rPr>
        <w:t>Lubemba</w:t>
      </w:r>
      <w:proofErr w:type="spellEnd"/>
      <w:r w:rsidRPr="00346C89">
        <w:rPr>
          <w:rFonts w:ascii="Palatino Linotype" w:eastAsia="Palatino Linotype" w:hAnsi="Palatino Linotype" w:cs="Palatino Linotype"/>
          <w:i/>
          <w:sz w:val="24"/>
          <w:lang w:val="en-US" w:eastAsia="en-US"/>
        </w:rPr>
        <w:t xml:space="preserve"> </w:t>
      </w:r>
      <w:r w:rsidRPr="00346C89">
        <w:rPr>
          <w:rFonts w:ascii="Palatino Linotype" w:eastAsia="Palatino Linotype" w:hAnsi="Palatino Linotype" w:cs="Palatino Linotype"/>
          <w:sz w:val="24"/>
          <w:lang w:val="en-US" w:eastAsia="en-US"/>
        </w:rPr>
        <w:t xml:space="preserve">[2015] 1 WLR 1579 and </w:t>
      </w:r>
      <w:r w:rsidRPr="00346C89">
        <w:rPr>
          <w:rFonts w:ascii="Palatino Linotype" w:eastAsia="Palatino Linotype" w:hAnsi="Palatino Linotype" w:cs="Palatino Linotype"/>
          <w:i/>
          <w:sz w:val="24"/>
          <w:lang w:val="en-US" w:eastAsia="en-US"/>
        </w:rPr>
        <w:t xml:space="preserve">R v Barker </w:t>
      </w:r>
      <w:r w:rsidRPr="00346C89">
        <w:rPr>
          <w:rFonts w:ascii="Palatino Linotype" w:eastAsia="Palatino Linotype" w:hAnsi="Palatino Linotype" w:cs="Palatino Linotype"/>
          <w:sz w:val="24"/>
          <w:lang w:val="en-US" w:eastAsia="en-US"/>
        </w:rPr>
        <w:t>[2011] Criminal LR</w:t>
      </w:r>
      <w:r w:rsidRPr="00346C89">
        <w:rPr>
          <w:rFonts w:ascii="Palatino Linotype" w:eastAsia="Palatino Linotype" w:hAnsi="Palatino Linotype" w:cs="Palatino Linotype"/>
          <w:spacing w:val="-11"/>
          <w:sz w:val="24"/>
          <w:lang w:val="en-US" w:eastAsia="en-US"/>
        </w:rPr>
        <w:t xml:space="preserve"> </w:t>
      </w:r>
      <w:r w:rsidRPr="00346C89">
        <w:rPr>
          <w:rFonts w:ascii="Palatino Linotype" w:eastAsia="Palatino Linotype" w:hAnsi="Palatino Linotype" w:cs="Palatino Linotype"/>
          <w:sz w:val="24"/>
          <w:lang w:val="en-US" w:eastAsia="en-US"/>
        </w:rPr>
        <w:t>233);</w:t>
      </w:r>
    </w:p>
    <w:p w:rsidR="00346C89" w:rsidRPr="00346C89" w:rsidRDefault="00346C89" w:rsidP="00346C89">
      <w:pPr>
        <w:widowControl w:val="0"/>
        <w:numPr>
          <w:ilvl w:val="0"/>
          <w:numId w:val="3"/>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how that is to be</w:t>
      </w:r>
      <w:r w:rsidRPr="00346C89">
        <w:rPr>
          <w:rFonts w:ascii="Palatino Linotype" w:eastAsia="Palatino Linotype" w:hAnsi="Palatino Linotype" w:cs="Palatino Linotype"/>
          <w:spacing w:val="-9"/>
          <w:sz w:val="24"/>
          <w:lang w:val="en-US" w:eastAsia="en-US"/>
        </w:rPr>
        <w:t xml:space="preserve"> </w:t>
      </w:r>
      <w:r w:rsidRPr="00346C89">
        <w:rPr>
          <w:rFonts w:ascii="Palatino Linotype" w:eastAsia="Palatino Linotype" w:hAnsi="Palatino Linotype" w:cs="Palatino Linotype"/>
          <w:sz w:val="24"/>
          <w:lang w:val="en-US" w:eastAsia="en-US"/>
        </w:rPr>
        <w:t>done;</w:t>
      </w:r>
    </w:p>
    <w:p w:rsidR="00346C89" w:rsidRPr="00346C89" w:rsidRDefault="00346C89" w:rsidP="00346C89">
      <w:pPr>
        <w:widowControl w:val="0"/>
        <w:numPr>
          <w:ilvl w:val="0"/>
          <w:numId w:val="3"/>
        </w:numPr>
        <w:tabs>
          <w:tab w:val="left" w:pos="1201"/>
        </w:tabs>
        <w:autoSpaceDE w:val="0"/>
        <w:autoSpaceDN w:val="0"/>
        <w:spacing w:before="117" w:after="0" w:line="240" w:lineRule="auto"/>
        <w:ind w:right="121"/>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whether the parties have agreed how this issue may be addressed  in due course for the purposes of the</w:t>
      </w:r>
      <w:r w:rsidRPr="00346C89">
        <w:rPr>
          <w:rFonts w:ascii="Palatino Linotype" w:eastAsia="Palatino Linotype" w:hAnsi="Palatino Linotype" w:cs="Palatino Linotype"/>
          <w:spacing w:val="-7"/>
          <w:sz w:val="24"/>
          <w:lang w:val="en-US" w:eastAsia="en-US"/>
        </w:rPr>
        <w:t xml:space="preserve"> </w:t>
      </w:r>
      <w:r w:rsidRPr="00346C89">
        <w:rPr>
          <w:rFonts w:ascii="Palatino Linotype" w:eastAsia="Palatino Linotype" w:hAnsi="Palatino Linotype" w:cs="Palatino Linotype"/>
          <w:sz w:val="24"/>
          <w:lang w:val="en-US" w:eastAsia="en-US"/>
        </w:rPr>
        <w:t>jury;</w:t>
      </w:r>
    </w:p>
    <w:p w:rsidR="00346C89" w:rsidRPr="00346C89" w:rsidRDefault="00346C89" w:rsidP="00346C89">
      <w:pPr>
        <w:widowControl w:val="0"/>
        <w:numPr>
          <w:ilvl w:val="0"/>
          <w:numId w:val="3"/>
        </w:numPr>
        <w:tabs>
          <w:tab w:val="left" w:pos="1200"/>
          <w:tab w:val="left" w:pos="1201"/>
        </w:tabs>
        <w:autoSpaceDE w:val="0"/>
        <w:autoSpaceDN w:val="0"/>
        <w:spacing w:before="119"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any specific communication needs of the</w:t>
      </w:r>
      <w:r w:rsidRPr="00346C89">
        <w:rPr>
          <w:rFonts w:ascii="Palatino Linotype" w:eastAsia="Palatino Linotype" w:hAnsi="Palatino Linotype" w:cs="Palatino Linotype"/>
          <w:spacing w:val="-14"/>
          <w:sz w:val="24"/>
          <w:lang w:val="en-US" w:eastAsia="en-US"/>
        </w:rPr>
        <w:t xml:space="preserve"> </w:t>
      </w:r>
      <w:r w:rsidRPr="00346C89">
        <w:rPr>
          <w:rFonts w:ascii="Palatino Linotype" w:eastAsia="Palatino Linotype" w:hAnsi="Palatino Linotype" w:cs="Palatino Linotype"/>
          <w:sz w:val="24"/>
          <w:lang w:val="en-US" w:eastAsia="en-US"/>
        </w:rPr>
        <w:t>witness;</w:t>
      </w:r>
    </w:p>
    <w:p w:rsidR="00346C89" w:rsidRPr="00346C89" w:rsidRDefault="00346C89" w:rsidP="00346C89">
      <w:pPr>
        <w:widowControl w:val="0"/>
        <w:numPr>
          <w:ilvl w:val="0"/>
          <w:numId w:val="3"/>
        </w:numPr>
        <w:tabs>
          <w:tab w:val="left" w:pos="1200"/>
          <w:tab w:val="left" w:pos="1201"/>
        </w:tabs>
        <w:autoSpaceDE w:val="0"/>
        <w:autoSpaceDN w:val="0"/>
        <w:spacing w:before="119"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whether any communication aids are required, e.g. “body</w:t>
      </w:r>
      <w:r w:rsidRPr="00346C89">
        <w:rPr>
          <w:rFonts w:ascii="Palatino Linotype" w:eastAsia="Palatino Linotype" w:hAnsi="Palatino Linotype" w:cs="Palatino Linotype"/>
          <w:spacing w:val="-13"/>
          <w:sz w:val="24"/>
          <w:lang w:val="en-US" w:eastAsia="en-US"/>
        </w:rPr>
        <w:t xml:space="preserve"> </w:t>
      </w:r>
      <w:r w:rsidRPr="00346C89">
        <w:rPr>
          <w:rFonts w:ascii="Palatino Linotype" w:eastAsia="Palatino Linotype" w:hAnsi="Palatino Linotype" w:cs="Palatino Linotype"/>
          <w:sz w:val="24"/>
          <w:lang w:val="en-US" w:eastAsia="en-US"/>
        </w:rPr>
        <w:t>maps”;</w:t>
      </w:r>
    </w:p>
    <w:p w:rsidR="00346C89" w:rsidRPr="00346C89" w:rsidRDefault="00346C89" w:rsidP="00346C89">
      <w:pPr>
        <w:widowControl w:val="0"/>
        <w:numPr>
          <w:ilvl w:val="0"/>
          <w:numId w:val="3"/>
        </w:numPr>
        <w:tabs>
          <w:tab w:val="left" w:pos="1201"/>
        </w:tabs>
        <w:autoSpaceDE w:val="0"/>
        <w:autoSpaceDN w:val="0"/>
        <w:spacing w:before="119" w:after="0" w:line="240" w:lineRule="auto"/>
        <w:ind w:right="118"/>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if a statement in whatever form is to be used as the evidence in  chief of the witness, whether and what arrangements should be made for the witness to see this in advance of the commission (i.e. how, where, and</w:t>
      </w:r>
      <w:r w:rsidRPr="00346C89">
        <w:rPr>
          <w:rFonts w:ascii="Palatino Linotype" w:eastAsia="Palatino Linotype" w:hAnsi="Palatino Linotype" w:cs="Palatino Linotype"/>
          <w:spacing w:val="-3"/>
          <w:sz w:val="24"/>
          <w:lang w:val="en-US" w:eastAsia="en-US"/>
        </w:rPr>
        <w:t xml:space="preserve"> </w:t>
      </w:r>
      <w:r w:rsidRPr="00346C89">
        <w:rPr>
          <w:rFonts w:ascii="Palatino Linotype" w:eastAsia="Palatino Linotype" w:hAnsi="Palatino Linotype" w:cs="Palatino Linotype"/>
          <w:sz w:val="24"/>
          <w:lang w:val="en-US" w:eastAsia="en-US"/>
        </w:rPr>
        <w:t>when);</w:t>
      </w:r>
    </w:p>
    <w:p w:rsidR="00346C89" w:rsidRPr="00346C89" w:rsidRDefault="00346C89" w:rsidP="00346C89">
      <w:pPr>
        <w:widowControl w:val="0"/>
        <w:numPr>
          <w:ilvl w:val="0"/>
          <w:numId w:val="3"/>
        </w:numPr>
        <w:tabs>
          <w:tab w:val="left" w:pos="1200"/>
          <w:tab w:val="left" w:pos="1201"/>
        </w:tabs>
        <w:autoSpaceDE w:val="0"/>
        <w:autoSpaceDN w:val="0"/>
        <w:spacing w:before="119"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whether any such statement requires to be redacted in any</w:t>
      </w:r>
      <w:r w:rsidRPr="00346C89">
        <w:rPr>
          <w:rFonts w:ascii="Palatino Linotype" w:eastAsia="Palatino Linotype" w:hAnsi="Palatino Linotype" w:cs="Palatino Linotype"/>
          <w:spacing w:val="-15"/>
          <w:sz w:val="24"/>
          <w:lang w:val="en-US" w:eastAsia="en-US"/>
        </w:rPr>
        <w:t xml:space="preserve"> </w:t>
      </w:r>
      <w:r w:rsidRPr="00346C89">
        <w:rPr>
          <w:rFonts w:ascii="Palatino Linotype" w:eastAsia="Palatino Linotype" w:hAnsi="Palatino Linotype" w:cs="Palatino Linotype"/>
          <w:sz w:val="24"/>
          <w:lang w:val="en-US" w:eastAsia="en-US"/>
        </w:rPr>
        <w:t>way;</w:t>
      </w:r>
    </w:p>
    <w:p w:rsidR="00346C89" w:rsidRPr="00346C89" w:rsidRDefault="00346C89" w:rsidP="00346C89">
      <w:pPr>
        <w:widowControl w:val="0"/>
        <w:numPr>
          <w:ilvl w:val="0"/>
          <w:numId w:val="3"/>
        </w:numPr>
        <w:tabs>
          <w:tab w:val="left" w:pos="1201"/>
        </w:tabs>
        <w:autoSpaceDE w:val="0"/>
        <w:autoSpaceDN w:val="0"/>
        <w:spacing w:before="114" w:after="0" w:line="322" w:lineRule="exact"/>
        <w:ind w:right="123"/>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in such a case, whether, and to what extent, there should be any examination in chief of the</w:t>
      </w:r>
      <w:r w:rsidRPr="00346C89">
        <w:rPr>
          <w:rFonts w:ascii="Palatino Linotype" w:eastAsia="Palatino Linotype" w:hAnsi="Palatino Linotype" w:cs="Palatino Linotype"/>
          <w:spacing w:val="-10"/>
          <w:sz w:val="24"/>
          <w:lang w:val="en-US" w:eastAsia="en-US"/>
        </w:rPr>
        <w:t xml:space="preserve"> </w:t>
      </w:r>
      <w:r w:rsidRPr="00346C89">
        <w:rPr>
          <w:rFonts w:ascii="Palatino Linotype" w:eastAsia="Palatino Linotype" w:hAnsi="Palatino Linotype" w:cs="Palatino Linotype"/>
          <w:sz w:val="24"/>
          <w:lang w:val="en-US" w:eastAsia="en-US"/>
        </w:rPr>
        <w:t>witness;</w:t>
      </w:r>
    </w:p>
    <w:p w:rsidR="00346C89" w:rsidRPr="00346C89" w:rsidRDefault="00346C89" w:rsidP="00346C89">
      <w:pPr>
        <w:widowControl w:val="0"/>
        <w:numPr>
          <w:ilvl w:val="0"/>
          <w:numId w:val="3"/>
        </w:numPr>
        <w:tabs>
          <w:tab w:val="left" w:pos="1201"/>
        </w:tabs>
        <w:autoSpaceDE w:val="0"/>
        <w:autoSpaceDN w:val="0"/>
        <w:spacing w:before="128" w:after="0" w:line="240" w:lineRule="auto"/>
        <w:ind w:right="118"/>
        <w:jc w:val="both"/>
        <w:rPr>
          <w:rFonts w:ascii="Palatino Linotype" w:eastAsia="Palatino Linotype" w:hAnsi="Palatino Linotype" w:cs="Palatino Linotype"/>
          <w:sz w:val="14"/>
          <w:lang w:val="en-US" w:eastAsia="en-US"/>
        </w:rPr>
      </w:pPr>
      <w:r w:rsidRPr="00346C89">
        <w:rPr>
          <w:rFonts w:ascii="Palatino Linotype" w:eastAsia="Palatino Linotype" w:hAnsi="Palatino Linotype" w:cs="Palatino Linotype"/>
          <w:sz w:val="24"/>
          <w:lang w:val="en-US" w:eastAsia="en-US"/>
        </w:rPr>
        <w:t>the court may also make directions as to the circumstances in which visually recorded prior statements may be made available to the defence;</w:t>
      </w:r>
      <w:r w:rsidRPr="00346C89">
        <w:rPr>
          <w:rFonts w:ascii="Palatino Linotype" w:eastAsia="Palatino Linotype" w:hAnsi="Palatino Linotype" w:cs="Palatino Linotype"/>
          <w:position w:val="7"/>
          <w:sz w:val="14"/>
          <w:lang w:val="en-US" w:eastAsia="en-US"/>
        </w:rPr>
        <w:t>a</w:t>
      </w:r>
    </w:p>
    <w:p w:rsidR="00346C89" w:rsidRPr="00346C89" w:rsidRDefault="00346C89" w:rsidP="00346C89">
      <w:pPr>
        <w:widowControl w:val="0"/>
        <w:numPr>
          <w:ilvl w:val="0"/>
          <w:numId w:val="3"/>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wearing of wigs and</w:t>
      </w:r>
      <w:r w:rsidRPr="00346C89">
        <w:rPr>
          <w:rFonts w:ascii="Palatino Linotype" w:eastAsia="Palatino Linotype" w:hAnsi="Palatino Linotype" w:cs="Palatino Linotype"/>
          <w:spacing w:val="-7"/>
          <w:sz w:val="24"/>
          <w:lang w:val="en-US" w:eastAsia="en-US"/>
        </w:rPr>
        <w:t xml:space="preserve"> </w:t>
      </w:r>
      <w:r w:rsidRPr="00346C89">
        <w:rPr>
          <w:rFonts w:ascii="Palatino Linotype" w:eastAsia="Palatino Linotype" w:hAnsi="Palatino Linotype" w:cs="Palatino Linotype"/>
          <w:sz w:val="24"/>
          <w:lang w:val="en-US" w:eastAsia="en-US"/>
        </w:rPr>
        <w:t>gowns;</w:t>
      </w:r>
    </w:p>
    <w:p w:rsidR="00346C89" w:rsidRDefault="00346C89" w:rsidP="00346C89">
      <w:pPr>
        <w:widowControl w:val="0"/>
        <w:numPr>
          <w:ilvl w:val="0"/>
          <w:numId w:val="3"/>
        </w:numPr>
        <w:tabs>
          <w:tab w:val="left" w:pos="1201"/>
        </w:tabs>
        <w:autoSpaceDE w:val="0"/>
        <w:autoSpaceDN w:val="0"/>
        <w:spacing w:before="120" w:after="0" w:line="240" w:lineRule="auto"/>
        <w:ind w:right="115"/>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 xml:space="preserve">whether the judge/parties should introduce themselves to </w:t>
      </w:r>
      <w:r w:rsidRPr="00346C89">
        <w:rPr>
          <w:rFonts w:ascii="Palatino Linotype" w:eastAsia="Palatino Linotype" w:hAnsi="Palatino Linotype" w:cs="Palatino Linotype"/>
          <w:spacing w:val="2"/>
          <w:sz w:val="24"/>
          <w:lang w:val="en-US" w:eastAsia="en-US"/>
        </w:rPr>
        <w:t xml:space="preserve">the </w:t>
      </w:r>
      <w:r w:rsidRPr="00346C89">
        <w:rPr>
          <w:rFonts w:ascii="Palatino Linotype" w:eastAsia="Palatino Linotype" w:hAnsi="Palatino Linotype" w:cs="Palatino Linotype"/>
          <w:sz w:val="24"/>
          <w:lang w:val="en-US" w:eastAsia="en-US"/>
        </w:rPr>
        <w:t>witness in advance, how and when this will take place, preferably together;</w:t>
      </w:r>
    </w:p>
    <w:p w:rsidR="009E37E5" w:rsidRPr="009E37E5" w:rsidRDefault="009E37E5" w:rsidP="009E37E5">
      <w:pPr>
        <w:pStyle w:val="ListParagraph"/>
        <w:widowControl w:val="0"/>
        <w:numPr>
          <w:ilvl w:val="0"/>
          <w:numId w:val="3"/>
        </w:numPr>
        <w:autoSpaceDE w:val="0"/>
        <w:autoSpaceDN w:val="0"/>
        <w:spacing w:before="30" w:after="0" w:line="240" w:lineRule="auto"/>
        <w:rPr>
          <w:rFonts w:ascii="Palatino Linotype" w:eastAsia="Palatino Linotype" w:hAnsi="Palatino Linotype" w:cs="Palatino Linotype"/>
          <w:sz w:val="24"/>
          <w:lang w:val="en-US" w:eastAsia="en-US"/>
        </w:rPr>
      </w:pPr>
      <w:proofErr w:type="gramStart"/>
      <w:r w:rsidRPr="009E37E5">
        <w:rPr>
          <w:rFonts w:ascii="Palatino Linotype" w:eastAsia="Palatino Linotype" w:hAnsi="Palatino Linotype" w:cs="Palatino Linotype"/>
          <w:sz w:val="24"/>
          <w:lang w:val="en-US" w:eastAsia="en-US"/>
        </w:rPr>
        <w:t>the</w:t>
      </w:r>
      <w:proofErr w:type="gramEnd"/>
      <w:r w:rsidRPr="009E37E5">
        <w:rPr>
          <w:rFonts w:ascii="Palatino Linotype" w:eastAsia="Palatino Linotype" w:hAnsi="Palatino Linotype" w:cs="Palatino Linotype"/>
          <w:sz w:val="24"/>
          <w:lang w:val="en-US" w:eastAsia="en-US"/>
        </w:rPr>
        <w:t xml:space="preserve"> arrangements to be made in due course for parties to view the resultant DVD prior to a post-commission</w:t>
      </w:r>
      <w:r w:rsidRPr="009E37E5">
        <w:rPr>
          <w:rFonts w:ascii="Palatino Linotype" w:eastAsia="Palatino Linotype" w:hAnsi="Palatino Linotype" w:cs="Palatino Linotype"/>
          <w:spacing w:val="-14"/>
          <w:sz w:val="24"/>
          <w:lang w:val="en-US" w:eastAsia="en-US"/>
        </w:rPr>
        <w:t xml:space="preserve"> </w:t>
      </w:r>
      <w:r w:rsidRPr="009E37E5">
        <w:rPr>
          <w:rFonts w:ascii="Palatino Linotype" w:eastAsia="Palatino Linotype" w:hAnsi="Palatino Linotype" w:cs="Palatino Linotype"/>
          <w:sz w:val="24"/>
          <w:lang w:val="en-US" w:eastAsia="en-US"/>
        </w:rPr>
        <w:t>hearing.</w:t>
      </w:r>
    </w:p>
    <w:p w:rsidR="009E37E5" w:rsidRDefault="009E37E5" w:rsidP="009E37E5">
      <w:pPr>
        <w:widowControl w:val="0"/>
        <w:tabs>
          <w:tab w:val="left" w:pos="1201"/>
        </w:tabs>
        <w:autoSpaceDE w:val="0"/>
        <w:autoSpaceDN w:val="0"/>
        <w:spacing w:before="120" w:after="0" w:line="240" w:lineRule="auto"/>
        <w:ind w:left="1200" w:right="115"/>
        <w:jc w:val="both"/>
        <w:rPr>
          <w:rFonts w:ascii="Palatino Linotype" w:eastAsia="Palatino Linotype" w:hAnsi="Palatino Linotype" w:cs="Palatino Linotype"/>
          <w:sz w:val="24"/>
          <w:lang w:val="en-US" w:eastAsia="en-US"/>
        </w:rPr>
      </w:pPr>
    </w:p>
    <w:p w:rsidR="009E37E5" w:rsidRDefault="009E37E5" w:rsidP="009E37E5">
      <w:pPr>
        <w:widowControl w:val="0"/>
        <w:tabs>
          <w:tab w:val="left" w:pos="1201"/>
        </w:tabs>
        <w:autoSpaceDE w:val="0"/>
        <w:autoSpaceDN w:val="0"/>
        <w:spacing w:before="120" w:after="0" w:line="240" w:lineRule="auto"/>
        <w:ind w:left="1200" w:right="115"/>
        <w:jc w:val="both"/>
        <w:rPr>
          <w:rFonts w:ascii="Palatino Linotype" w:eastAsia="Palatino Linotype" w:hAnsi="Palatino Linotype" w:cs="Palatino Linotype"/>
          <w:sz w:val="24"/>
          <w:lang w:val="en-US" w:eastAsia="en-US"/>
        </w:rPr>
      </w:pPr>
    </w:p>
    <w:p w:rsidR="009E37E5" w:rsidRDefault="009E37E5" w:rsidP="009E37E5">
      <w:pPr>
        <w:widowControl w:val="0"/>
        <w:tabs>
          <w:tab w:val="left" w:pos="1201"/>
        </w:tabs>
        <w:autoSpaceDE w:val="0"/>
        <w:autoSpaceDN w:val="0"/>
        <w:spacing w:before="120" w:after="0" w:line="240" w:lineRule="auto"/>
        <w:ind w:left="1200" w:right="115"/>
        <w:jc w:val="both"/>
        <w:rPr>
          <w:rFonts w:ascii="Palatino Linotype" w:eastAsia="Palatino Linotype" w:hAnsi="Palatino Linotype" w:cs="Palatino Linotype"/>
          <w:sz w:val="24"/>
          <w:lang w:val="en-US" w:eastAsia="en-US"/>
        </w:rPr>
      </w:pPr>
    </w:p>
    <w:p w:rsidR="009E37E5" w:rsidRDefault="009E37E5" w:rsidP="009E37E5">
      <w:pPr>
        <w:widowControl w:val="0"/>
        <w:tabs>
          <w:tab w:val="left" w:pos="1201"/>
        </w:tabs>
        <w:autoSpaceDE w:val="0"/>
        <w:autoSpaceDN w:val="0"/>
        <w:spacing w:before="120" w:after="0" w:line="240" w:lineRule="auto"/>
        <w:ind w:left="1200" w:right="115"/>
        <w:jc w:val="both"/>
        <w:rPr>
          <w:rFonts w:ascii="Palatino Linotype" w:eastAsia="Palatino Linotype" w:hAnsi="Palatino Linotype" w:cs="Palatino Linotype"/>
          <w:sz w:val="24"/>
          <w:lang w:val="en-US" w:eastAsia="en-US"/>
        </w:rPr>
      </w:pPr>
    </w:p>
    <w:p w:rsidR="009E37E5" w:rsidRDefault="009E37E5" w:rsidP="009E37E5">
      <w:pPr>
        <w:widowControl w:val="0"/>
        <w:tabs>
          <w:tab w:val="left" w:pos="1201"/>
        </w:tabs>
        <w:autoSpaceDE w:val="0"/>
        <w:autoSpaceDN w:val="0"/>
        <w:spacing w:before="120" w:after="0" w:line="240" w:lineRule="auto"/>
        <w:ind w:left="1200" w:right="115"/>
        <w:jc w:val="both"/>
        <w:rPr>
          <w:rFonts w:ascii="Palatino Linotype" w:eastAsia="Palatino Linotype" w:hAnsi="Palatino Linotype" w:cs="Palatino Linotype"/>
          <w:sz w:val="24"/>
          <w:lang w:val="en-US" w:eastAsia="en-US"/>
        </w:rPr>
      </w:pPr>
    </w:p>
    <w:p w:rsidR="009E37E5" w:rsidRDefault="009E37E5" w:rsidP="009E37E5">
      <w:pPr>
        <w:widowControl w:val="0"/>
        <w:tabs>
          <w:tab w:val="left" w:pos="1201"/>
        </w:tabs>
        <w:autoSpaceDE w:val="0"/>
        <w:autoSpaceDN w:val="0"/>
        <w:spacing w:before="120" w:after="0" w:line="240" w:lineRule="auto"/>
        <w:ind w:left="1200" w:right="115"/>
        <w:jc w:val="both"/>
        <w:rPr>
          <w:rFonts w:ascii="Palatino Linotype" w:eastAsia="Palatino Linotype" w:hAnsi="Palatino Linotype" w:cs="Palatino Linotype"/>
          <w:sz w:val="24"/>
          <w:lang w:val="en-US" w:eastAsia="en-US"/>
        </w:rPr>
      </w:pPr>
    </w:p>
    <w:p w:rsidR="009E37E5" w:rsidRPr="00346C89" w:rsidRDefault="009E37E5" w:rsidP="009E37E5">
      <w:pPr>
        <w:widowControl w:val="0"/>
        <w:tabs>
          <w:tab w:val="left" w:pos="1201"/>
        </w:tabs>
        <w:autoSpaceDE w:val="0"/>
        <w:autoSpaceDN w:val="0"/>
        <w:spacing w:before="120" w:after="0" w:line="240" w:lineRule="auto"/>
        <w:ind w:left="1200" w:right="115"/>
        <w:jc w:val="both"/>
        <w:rPr>
          <w:rFonts w:ascii="Palatino Linotype" w:eastAsia="Palatino Linotype" w:hAnsi="Palatino Linotype" w:cs="Palatino Linotype"/>
          <w:sz w:val="24"/>
          <w:lang w:val="en-US" w:eastAsia="en-US"/>
        </w:rPr>
      </w:pP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20"/>
          <w:szCs w:val="24"/>
          <w:lang w:val="en-US" w:eastAsia="en-US"/>
        </w:rPr>
      </w:pPr>
    </w:p>
    <w:p w:rsidR="00346C89" w:rsidRPr="00346C89" w:rsidRDefault="007E5980" w:rsidP="00346C89">
      <w:pPr>
        <w:widowControl w:val="0"/>
        <w:autoSpaceDE w:val="0"/>
        <w:autoSpaceDN w:val="0"/>
        <w:spacing w:before="8" w:after="0" w:line="240" w:lineRule="auto"/>
        <w:rPr>
          <w:rFonts w:ascii="Palatino Linotype" w:eastAsia="Palatino Linotype" w:hAnsi="Palatino Linotype" w:cs="Palatino Linotype"/>
          <w:sz w:val="20"/>
          <w:szCs w:val="24"/>
          <w:lang w:val="en-US" w:eastAsia="en-US"/>
        </w:rPr>
      </w:pPr>
      <w:r>
        <w:rPr>
          <w:rFonts w:ascii="Palatino Linotype" w:eastAsia="Palatino Linotype" w:hAnsi="Palatino Linotype" w:cs="Palatino Linotype"/>
          <w:noProof/>
          <w:sz w:val="24"/>
          <w:szCs w:val="24"/>
        </w:rPr>
        <mc:AlternateContent>
          <mc:Choice Requires="wps">
            <w:drawing>
              <wp:anchor distT="0" distB="0" distL="0" distR="0" simplePos="0" relativeHeight="251659264" behindDoc="0" locked="0" layoutInCell="1" allowOverlap="1" wp14:anchorId="51DB8ADA" wp14:editId="6E6A9CEB">
                <wp:simplePos x="0" y="0"/>
                <wp:positionH relativeFrom="page">
                  <wp:posOffset>1143000</wp:posOffset>
                </wp:positionH>
                <wp:positionV relativeFrom="paragraph">
                  <wp:posOffset>205105</wp:posOffset>
                </wp:positionV>
                <wp:extent cx="1829435" cy="0"/>
                <wp:effectExtent l="9525" t="13335" r="8890" b="571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6.15pt" to="234.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b+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" strokeweight=".48pt">
                <w10:wrap type="topAndBottom" anchorx="page"/>
              </v:line>
            </w:pict>
          </mc:Fallback>
        </mc:AlternateContent>
      </w:r>
    </w:p>
    <w:p w:rsidR="00064CB9" w:rsidRDefault="00346C89" w:rsidP="00064CB9">
      <w:pPr>
        <w:widowControl w:val="0"/>
        <w:autoSpaceDE w:val="0"/>
        <w:autoSpaceDN w:val="0"/>
        <w:spacing w:before="30" w:after="0" w:line="240" w:lineRule="auto"/>
        <w:ind w:left="120"/>
        <w:rPr>
          <w:rFonts w:ascii="Times New Roman" w:eastAsia="Palatino Linotype" w:hAnsi="Palatino Linotype" w:cs="Palatino Linotype"/>
          <w:sz w:val="16"/>
          <w:lang w:val="en-US" w:eastAsia="en-US"/>
        </w:rPr>
      </w:pPr>
      <w:proofErr w:type="gramStart"/>
      <w:r w:rsidRPr="00346C89">
        <w:rPr>
          <w:rFonts w:ascii="Times New Roman" w:eastAsia="Palatino Linotype" w:hAnsi="Palatino Linotype" w:cs="Palatino Linotype"/>
          <w:position w:val="9"/>
          <w:sz w:val="13"/>
          <w:lang w:val="en-US" w:eastAsia="en-US"/>
        </w:rPr>
        <w:t xml:space="preserve">a  </w:t>
      </w:r>
      <w:r w:rsidRPr="00346C89">
        <w:rPr>
          <w:rFonts w:ascii="Times New Roman" w:eastAsia="Palatino Linotype" w:hAnsi="Palatino Linotype" w:cs="Palatino Linotype"/>
          <w:sz w:val="16"/>
          <w:lang w:val="en-US" w:eastAsia="en-US"/>
        </w:rPr>
        <w:t>HMA</w:t>
      </w:r>
      <w:proofErr w:type="gramEnd"/>
      <w:r w:rsidRPr="00346C89">
        <w:rPr>
          <w:rFonts w:ascii="Times New Roman" w:eastAsia="Palatino Linotype" w:hAnsi="Palatino Linotype" w:cs="Palatino Linotype"/>
          <w:sz w:val="16"/>
          <w:lang w:val="en-US" w:eastAsia="en-US"/>
        </w:rPr>
        <w:t xml:space="preserve"> v AM &amp; JM [2016] JC 127</w:t>
      </w:r>
    </w:p>
    <w:p w:rsidR="00064CB9" w:rsidRDefault="00064CB9" w:rsidP="00064CB9">
      <w:pPr>
        <w:widowControl w:val="0"/>
        <w:autoSpaceDE w:val="0"/>
        <w:autoSpaceDN w:val="0"/>
        <w:spacing w:before="30" w:after="0" w:line="240" w:lineRule="auto"/>
        <w:ind w:left="120"/>
        <w:rPr>
          <w:rFonts w:ascii="Times New Roman" w:eastAsia="Palatino Linotype" w:hAnsi="Palatino Linotype" w:cs="Palatino Linotype"/>
          <w:sz w:val="16"/>
          <w:lang w:val="en-US" w:eastAsia="en-US"/>
        </w:rPr>
      </w:pPr>
    </w:p>
    <w:p w:rsidR="00064CB9" w:rsidRDefault="00064CB9" w:rsidP="00064CB9">
      <w:pPr>
        <w:widowControl w:val="0"/>
        <w:autoSpaceDE w:val="0"/>
        <w:autoSpaceDN w:val="0"/>
        <w:spacing w:before="30" w:after="0" w:line="240" w:lineRule="auto"/>
        <w:ind w:left="120"/>
        <w:rPr>
          <w:rFonts w:ascii="Times New Roman" w:eastAsia="Palatino Linotype" w:hAnsi="Palatino Linotype" w:cs="Palatino Linotype"/>
          <w:sz w:val="16"/>
          <w:lang w:val="en-US" w:eastAsia="en-US"/>
        </w:rPr>
      </w:pPr>
    </w:p>
    <w:p w:rsidR="00064CB9" w:rsidRDefault="00064CB9" w:rsidP="00064CB9">
      <w:pPr>
        <w:widowControl w:val="0"/>
        <w:autoSpaceDE w:val="0"/>
        <w:autoSpaceDN w:val="0"/>
        <w:spacing w:before="30" w:after="0" w:line="240" w:lineRule="auto"/>
        <w:ind w:left="120"/>
        <w:rPr>
          <w:rFonts w:ascii="Times New Roman" w:eastAsia="Palatino Linotype" w:hAnsi="Palatino Linotype" w:cs="Palatino Linotype"/>
          <w:sz w:val="16"/>
          <w:lang w:val="en-US" w:eastAsia="en-US"/>
        </w:rPr>
      </w:pPr>
    </w:p>
    <w:p w:rsidR="00064CB9" w:rsidRDefault="00064CB9" w:rsidP="00064CB9">
      <w:pPr>
        <w:widowControl w:val="0"/>
        <w:autoSpaceDE w:val="0"/>
        <w:autoSpaceDN w:val="0"/>
        <w:spacing w:before="30" w:after="0" w:line="240" w:lineRule="auto"/>
        <w:ind w:left="120"/>
        <w:rPr>
          <w:rFonts w:ascii="Times New Roman" w:eastAsia="Palatino Linotype" w:hAnsi="Palatino Linotype" w:cs="Palatino Linotype"/>
          <w:sz w:val="16"/>
          <w:lang w:val="en-US" w:eastAsia="en-US"/>
        </w:rPr>
      </w:pPr>
    </w:p>
    <w:p w:rsidR="00064CB9" w:rsidRDefault="00064CB9" w:rsidP="00064CB9">
      <w:pPr>
        <w:widowControl w:val="0"/>
        <w:autoSpaceDE w:val="0"/>
        <w:autoSpaceDN w:val="0"/>
        <w:spacing w:before="30" w:after="0" w:line="240" w:lineRule="auto"/>
        <w:ind w:left="120"/>
        <w:rPr>
          <w:rFonts w:ascii="Times New Roman" w:eastAsia="Palatino Linotype" w:hAnsi="Palatino Linotype" w:cs="Palatino Linotype"/>
          <w:sz w:val="16"/>
          <w:lang w:val="en-US" w:eastAsia="en-US"/>
        </w:rPr>
      </w:pPr>
    </w:p>
    <w:p w:rsidR="00064CB9" w:rsidRDefault="00064CB9" w:rsidP="00064CB9">
      <w:pPr>
        <w:widowControl w:val="0"/>
        <w:autoSpaceDE w:val="0"/>
        <w:autoSpaceDN w:val="0"/>
        <w:spacing w:before="30" w:after="0" w:line="240" w:lineRule="auto"/>
        <w:ind w:left="120"/>
        <w:rPr>
          <w:rFonts w:ascii="Times New Roman" w:eastAsia="Palatino Linotype" w:hAnsi="Palatino Linotype" w:cs="Palatino Linotype"/>
          <w:sz w:val="16"/>
          <w:lang w:val="en-US" w:eastAsia="en-US"/>
        </w:rPr>
      </w:pP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24"/>
          <w:szCs w:val="24"/>
          <w:lang w:val="en-US" w:eastAsia="en-US"/>
        </w:rPr>
      </w:pPr>
    </w:p>
    <w:p w:rsidR="00346C89" w:rsidRPr="00346C89" w:rsidRDefault="00346C89" w:rsidP="00346C89">
      <w:pPr>
        <w:widowControl w:val="0"/>
        <w:autoSpaceDE w:val="0"/>
        <w:autoSpaceDN w:val="0"/>
        <w:spacing w:before="10" w:after="0" w:line="240" w:lineRule="auto"/>
        <w:rPr>
          <w:rFonts w:ascii="Palatino Linotype" w:eastAsia="Palatino Linotype" w:hAnsi="Palatino Linotype" w:cs="Palatino Linotype"/>
          <w:sz w:val="20"/>
          <w:szCs w:val="24"/>
          <w:lang w:val="en-US" w:eastAsia="en-US"/>
        </w:rPr>
      </w:pPr>
    </w:p>
    <w:p w:rsidR="00346C89" w:rsidRPr="00346C89" w:rsidRDefault="00346C89" w:rsidP="00346C89">
      <w:pPr>
        <w:widowControl w:val="0"/>
        <w:numPr>
          <w:ilvl w:val="0"/>
          <w:numId w:val="6"/>
        </w:numPr>
        <w:tabs>
          <w:tab w:val="left" w:pos="841"/>
        </w:tabs>
        <w:autoSpaceDE w:val="0"/>
        <w:autoSpaceDN w:val="0"/>
        <w:spacing w:before="1" w:after="0" w:line="240" w:lineRule="auto"/>
        <w:ind w:right="116"/>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court may make directions about these matters, or any other matters which might affect the commission proceedings, or which may be required for the effective conduct of the commission. If combined special measures are sought, the court will address how this is to work in</w:t>
      </w:r>
      <w:r w:rsidRPr="00346C89">
        <w:rPr>
          <w:rFonts w:ascii="Palatino Linotype" w:eastAsia="Palatino Linotype" w:hAnsi="Palatino Linotype" w:cs="Palatino Linotype"/>
          <w:spacing w:val="-6"/>
          <w:sz w:val="24"/>
          <w:lang w:val="en-US" w:eastAsia="en-US"/>
        </w:rPr>
        <w:t xml:space="preserve"> </w:t>
      </w:r>
      <w:r w:rsidRPr="00346C89">
        <w:rPr>
          <w:rFonts w:ascii="Palatino Linotype" w:eastAsia="Palatino Linotype" w:hAnsi="Palatino Linotype" w:cs="Palatino Linotype"/>
          <w:sz w:val="24"/>
          <w:lang w:val="en-US" w:eastAsia="en-US"/>
        </w:rPr>
        <w:t>practice.</w:t>
      </w: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24"/>
          <w:szCs w:val="24"/>
          <w:lang w:val="en-US" w:eastAsia="en-US"/>
        </w:rPr>
      </w:pPr>
    </w:p>
    <w:p w:rsidR="00346C89" w:rsidRPr="00346C89" w:rsidRDefault="00346C89" w:rsidP="00346C89">
      <w:pPr>
        <w:widowControl w:val="0"/>
        <w:numPr>
          <w:ilvl w:val="0"/>
          <w:numId w:val="6"/>
        </w:numPr>
        <w:tabs>
          <w:tab w:val="left" w:pos="841"/>
        </w:tabs>
        <w:autoSpaceDE w:val="0"/>
        <w:autoSpaceDN w:val="0"/>
        <w:spacing w:after="0" w:line="240" w:lineRule="auto"/>
        <w:ind w:right="120"/>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At the hearing, whether or not a trial has been fixed, the court will consider fixing a post-commission hearing at which the court may address:</w:t>
      </w:r>
    </w:p>
    <w:p w:rsidR="00346C89" w:rsidRPr="00346C89" w:rsidRDefault="00346C89" w:rsidP="00346C89">
      <w:pPr>
        <w:widowControl w:val="0"/>
        <w:numPr>
          <w:ilvl w:val="0"/>
          <w:numId w:val="2"/>
        </w:numPr>
        <w:tabs>
          <w:tab w:val="left" w:pos="1201"/>
        </w:tabs>
        <w:autoSpaceDE w:val="0"/>
        <w:autoSpaceDN w:val="0"/>
        <w:spacing w:before="194" w:after="0" w:line="322" w:lineRule="exact"/>
        <w:ind w:right="123"/>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any questions of admissibility which have been reserved at the commission;</w:t>
      </w:r>
    </w:p>
    <w:p w:rsidR="00346C89" w:rsidRPr="00346C89" w:rsidRDefault="00346C89" w:rsidP="00346C89">
      <w:pPr>
        <w:widowControl w:val="0"/>
        <w:numPr>
          <w:ilvl w:val="0"/>
          <w:numId w:val="2"/>
        </w:numPr>
        <w:tabs>
          <w:tab w:val="left" w:pos="1201"/>
        </w:tabs>
        <w:autoSpaceDE w:val="0"/>
        <w:autoSpaceDN w:val="0"/>
        <w:spacing w:before="128" w:after="0" w:line="240" w:lineRule="auto"/>
        <w:ind w:right="113"/>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any editing of the video of the commission which may be proposed (parties may request that the clerk allow the recording to be viewed prior to the further hearing to assess the quality of the recording, and the court may specify the conditions under which such viewing may take</w:t>
      </w:r>
      <w:r w:rsidRPr="00346C89">
        <w:rPr>
          <w:rFonts w:ascii="Palatino Linotype" w:eastAsia="Palatino Linotype" w:hAnsi="Palatino Linotype" w:cs="Palatino Linotype"/>
          <w:spacing w:val="-3"/>
          <w:sz w:val="24"/>
          <w:lang w:val="en-US" w:eastAsia="en-US"/>
        </w:rPr>
        <w:t xml:space="preserve"> </w:t>
      </w:r>
      <w:r w:rsidRPr="00346C89">
        <w:rPr>
          <w:rFonts w:ascii="Palatino Linotype" w:eastAsia="Palatino Linotype" w:hAnsi="Palatino Linotype" w:cs="Palatino Linotype"/>
          <w:sz w:val="24"/>
          <w:lang w:val="en-US" w:eastAsia="en-US"/>
        </w:rPr>
        <w:t>place);</w:t>
      </w:r>
    </w:p>
    <w:p w:rsidR="00346C89" w:rsidRPr="00346C89" w:rsidRDefault="00346C89" w:rsidP="00346C89">
      <w:pPr>
        <w:widowControl w:val="0"/>
        <w:numPr>
          <w:ilvl w:val="0"/>
          <w:numId w:val="2"/>
        </w:numPr>
        <w:tabs>
          <w:tab w:val="left" w:pos="1201"/>
        </w:tabs>
        <w:autoSpaceDE w:val="0"/>
        <w:autoSpaceDN w:val="0"/>
        <w:spacing w:before="120" w:after="0" w:line="240" w:lineRule="auto"/>
        <w:ind w:right="116"/>
        <w:jc w:val="both"/>
        <w:rPr>
          <w:rFonts w:ascii="Palatino Linotype" w:eastAsia="Palatino Linotype" w:hAnsi="Palatino Linotype" w:cs="Palatino Linotype"/>
          <w:sz w:val="24"/>
          <w:lang w:val="en-US" w:eastAsia="en-US"/>
        </w:rPr>
      </w:pPr>
      <w:r w:rsidRPr="00346C89">
        <w:rPr>
          <w:rFonts w:ascii="Palatino Linotype" w:eastAsia="Palatino Linotype" w:hAnsi="Palatino Linotype" w:cs="Palatino Linotype"/>
          <w:sz w:val="24"/>
          <w:lang w:val="en-US" w:eastAsia="en-US"/>
        </w:rPr>
        <w:t>the quality of the recording (and, where the quality is poor,  whether transcripts are required);</w:t>
      </w:r>
      <w:r w:rsidRPr="00346C89">
        <w:rPr>
          <w:rFonts w:ascii="Palatino Linotype" w:eastAsia="Palatino Linotype" w:hAnsi="Palatino Linotype" w:cs="Palatino Linotype"/>
          <w:spacing w:val="-11"/>
          <w:sz w:val="24"/>
          <w:lang w:val="en-US" w:eastAsia="en-US"/>
        </w:rPr>
        <w:t xml:space="preserve"> </w:t>
      </w:r>
      <w:r w:rsidRPr="00346C89">
        <w:rPr>
          <w:rFonts w:ascii="Palatino Linotype" w:eastAsia="Palatino Linotype" w:hAnsi="Palatino Linotype" w:cs="Palatino Linotype"/>
          <w:sz w:val="24"/>
          <w:lang w:val="en-US" w:eastAsia="en-US"/>
        </w:rPr>
        <w:t>and</w:t>
      </w:r>
    </w:p>
    <w:p w:rsidR="00346C89" w:rsidRPr="00346C89" w:rsidRDefault="00346C89" w:rsidP="00346C89">
      <w:pPr>
        <w:widowControl w:val="0"/>
        <w:numPr>
          <w:ilvl w:val="0"/>
          <w:numId w:val="2"/>
        </w:numPr>
        <w:tabs>
          <w:tab w:val="left" w:pos="1200"/>
          <w:tab w:val="left" w:pos="1201"/>
        </w:tabs>
        <w:autoSpaceDE w:val="0"/>
        <w:autoSpaceDN w:val="0"/>
        <w:spacing w:before="120" w:after="0" w:line="240" w:lineRule="auto"/>
        <w:rPr>
          <w:rFonts w:ascii="Palatino Linotype" w:eastAsia="Palatino Linotype" w:hAnsi="Palatino Linotype" w:cs="Palatino Linotype"/>
          <w:sz w:val="24"/>
          <w:lang w:val="en-US" w:eastAsia="en-US"/>
        </w:rPr>
      </w:pPr>
      <w:proofErr w:type="gramStart"/>
      <w:r w:rsidRPr="00346C89">
        <w:rPr>
          <w:rFonts w:ascii="Palatino Linotype" w:eastAsia="Palatino Linotype" w:hAnsi="Palatino Linotype" w:cs="Palatino Linotype"/>
          <w:sz w:val="24"/>
          <w:lang w:val="en-US" w:eastAsia="en-US"/>
        </w:rPr>
        <w:t>how</w:t>
      </w:r>
      <w:proofErr w:type="gramEnd"/>
      <w:r w:rsidRPr="00346C89">
        <w:rPr>
          <w:rFonts w:ascii="Palatino Linotype" w:eastAsia="Palatino Linotype" w:hAnsi="Palatino Linotype" w:cs="Palatino Linotype"/>
          <w:sz w:val="24"/>
          <w:lang w:val="en-US" w:eastAsia="en-US"/>
        </w:rPr>
        <w:t xml:space="preserve"> the evidence is to be presented to the</w:t>
      </w:r>
      <w:r w:rsidRPr="00346C89">
        <w:rPr>
          <w:rFonts w:ascii="Palatino Linotype" w:eastAsia="Palatino Linotype" w:hAnsi="Palatino Linotype" w:cs="Palatino Linotype"/>
          <w:spacing w:val="-9"/>
          <w:sz w:val="24"/>
          <w:lang w:val="en-US" w:eastAsia="en-US"/>
        </w:rPr>
        <w:t xml:space="preserve"> </w:t>
      </w:r>
      <w:r w:rsidRPr="00346C89">
        <w:rPr>
          <w:rFonts w:ascii="Palatino Linotype" w:eastAsia="Palatino Linotype" w:hAnsi="Palatino Linotype" w:cs="Palatino Linotype"/>
          <w:sz w:val="24"/>
          <w:lang w:val="en-US" w:eastAsia="en-US"/>
        </w:rPr>
        <w:t>jury.</w:t>
      </w: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30"/>
          <w:szCs w:val="24"/>
          <w:lang w:val="en-US" w:eastAsia="en-US"/>
        </w:rPr>
      </w:pP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30"/>
          <w:szCs w:val="24"/>
          <w:lang w:val="en-US" w:eastAsia="en-US"/>
        </w:rPr>
      </w:pP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30"/>
          <w:szCs w:val="24"/>
          <w:lang w:val="en-US" w:eastAsia="en-US"/>
        </w:rPr>
      </w:pP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30"/>
          <w:szCs w:val="24"/>
          <w:lang w:val="en-US" w:eastAsia="en-US"/>
        </w:rPr>
      </w:pPr>
    </w:p>
    <w:p w:rsidR="00346C89" w:rsidRPr="00346C89" w:rsidRDefault="00346C89" w:rsidP="00346C89">
      <w:pPr>
        <w:widowControl w:val="0"/>
        <w:autoSpaceDE w:val="0"/>
        <w:autoSpaceDN w:val="0"/>
        <w:spacing w:after="0" w:line="240" w:lineRule="auto"/>
        <w:rPr>
          <w:rFonts w:ascii="Palatino Linotype" w:eastAsia="Palatino Linotype" w:hAnsi="Palatino Linotype" w:cs="Palatino Linotype"/>
          <w:sz w:val="30"/>
          <w:szCs w:val="24"/>
          <w:lang w:val="en-US" w:eastAsia="en-US"/>
        </w:rPr>
      </w:pPr>
    </w:p>
    <w:p w:rsidR="00346C89" w:rsidRPr="00346C89" w:rsidRDefault="00346C89" w:rsidP="00346C89">
      <w:pPr>
        <w:widowControl w:val="0"/>
        <w:autoSpaceDE w:val="0"/>
        <w:autoSpaceDN w:val="0"/>
        <w:spacing w:before="11" w:after="0" w:line="240" w:lineRule="auto"/>
        <w:jc w:val="center"/>
        <w:rPr>
          <w:rFonts w:ascii="Palatino Linotype" w:eastAsia="Palatino Linotype" w:hAnsi="Palatino Linotype" w:cs="Palatino Linotype"/>
          <w:sz w:val="26"/>
          <w:szCs w:val="24"/>
          <w:lang w:val="en-US" w:eastAsia="en-US"/>
        </w:rPr>
      </w:pPr>
    </w:p>
    <w:p w:rsidR="00346C89" w:rsidRPr="00346C89" w:rsidRDefault="00346C89" w:rsidP="00346C89">
      <w:pPr>
        <w:widowControl w:val="0"/>
        <w:autoSpaceDE w:val="0"/>
        <w:autoSpaceDN w:val="0"/>
        <w:spacing w:before="1" w:after="0" w:line="240" w:lineRule="auto"/>
        <w:ind w:right="117"/>
        <w:jc w:val="right"/>
        <w:rPr>
          <w:rFonts w:ascii="Palatino Linotype" w:eastAsia="Palatino Linotype" w:hAnsi="Palatino Linotype" w:cs="Palatino Linotype"/>
          <w:i/>
          <w:sz w:val="24"/>
          <w:lang w:val="en-US" w:eastAsia="en-US"/>
        </w:rPr>
      </w:pPr>
      <w:r w:rsidRPr="00346C89">
        <w:rPr>
          <w:rFonts w:ascii="Palatino Linotype" w:eastAsia="Palatino Linotype" w:hAnsi="Palatino Linotype" w:cs="Palatino Linotype"/>
          <w:i/>
          <w:sz w:val="24"/>
          <w:lang w:val="en-US" w:eastAsia="en-US"/>
        </w:rPr>
        <w:t>CJM Sutherland</w:t>
      </w:r>
    </w:p>
    <w:p w:rsidR="00346C89" w:rsidRPr="00346C89" w:rsidRDefault="00346C89" w:rsidP="00346C89">
      <w:pPr>
        <w:widowControl w:val="0"/>
        <w:autoSpaceDE w:val="0"/>
        <w:autoSpaceDN w:val="0"/>
        <w:spacing w:after="0" w:line="240" w:lineRule="auto"/>
        <w:ind w:right="117"/>
        <w:jc w:val="right"/>
        <w:rPr>
          <w:rFonts w:ascii="Palatino Linotype" w:eastAsia="Palatino Linotype" w:hAnsi="Palatino Linotype" w:cs="Palatino Linotype"/>
          <w:sz w:val="24"/>
          <w:szCs w:val="24"/>
          <w:lang w:val="en-US" w:eastAsia="en-US"/>
        </w:rPr>
      </w:pPr>
      <w:r w:rsidRPr="00346C89">
        <w:rPr>
          <w:rFonts w:ascii="Palatino Linotype" w:eastAsia="Palatino Linotype" w:hAnsi="Palatino Linotype" w:cs="Palatino Linotype"/>
          <w:sz w:val="24"/>
          <w:szCs w:val="24"/>
          <w:lang w:val="en-US" w:eastAsia="en-US"/>
        </w:rPr>
        <w:t>Lord Justice General</w:t>
      </w:r>
    </w:p>
    <w:p w:rsidR="00346C89" w:rsidRPr="00346C89" w:rsidRDefault="00346C89" w:rsidP="00346C89">
      <w:pPr>
        <w:widowControl w:val="0"/>
        <w:autoSpaceDE w:val="0"/>
        <w:autoSpaceDN w:val="0"/>
        <w:spacing w:after="0" w:line="240" w:lineRule="auto"/>
        <w:ind w:left="6899" w:right="116" w:firstLine="381"/>
        <w:jc w:val="right"/>
        <w:rPr>
          <w:rFonts w:ascii="Palatino Linotype" w:eastAsia="Palatino Linotype" w:hAnsi="Palatino Linotype" w:cs="Palatino Linotype"/>
          <w:sz w:val="24"/>
          <w:szCs w:val="24"/>
          <w:lang w:val="en-US" w:eastAsia="en-US"/>
        </w:rPr>
      </w:pPr>
      <w:r w:rsidRPr="00346C89">
        <w:rPr>
          <w:rFonts w:ascii="Palatino Linotype" w:eastAsia="Palatino Linotype" w:hAnsi="Palatino Linotype" w:cs="Palatino Linotype"/>
          <w:sz w:val="24"/>
          <w:szCs w:val="24"/>
          <w:lang w:val="en-US" w:eastAsia="en-US"/>
        </w:rPr>
        <w:t>Edinburgh 28 March 2017</w:t>
      </w:r>
    </w:p>
    <w:p w:rsidR="00346C89" w:rsidRPr="00346C89" w:rsidRDefault="00346C89" w:rsidP="00346C89">
      <w:pPr>
        <w:spacing w:after="0" w:line="240" w:lineRule="auto"/>
        <w:rPr>
          <w:rFonts w:cs="Arial"/>
          <w:lang w:eastAsia="en-US"/>
        </w:rPr>
      </w:pPr>
    </w:p>
    <w:p w:rsidR="00346C89" w:rsidRPr="003B10BD" w:rsidRDefault="00F4721A" w:rsidP="00346C89">
      <w:pPr>
        <w:spacing w:after="0" w:line="240" w:lineRule="auto"/>
        <w:rPr>
          <w:rFonts w:cs="Arial"/>
          <w:b/>
          <w:i/>
          <w:lang w:eastAsia="en-US"/>
        </w:rPr>
      </w:pPr>
      <w:r>
        <w:rPr>
          <w:rFonts w:cs="Arial"/>
          <w:lang w:eastAsia="en-US"/>
        </w:rPr>
        <w:br w:type="page"/>
      </w:r>
      <w:r w:rsidRPr="00F4721A">
        <w:rPr>
          <w:rFonts w:cs="Arial"/>
          <w:b/>
          <w:lang w:eastAsia="en-US"/>
        </w:rPr>
        <w:lastRenderedPageBreak/>
        <w:t xml:space="preserve">APPENDIX 2 – EXAMPLE </w:t>
      </w:r>
      <w:r w:rsidR="003B10BD">
        <w:rPr>
          <w:rFonts w:cs="Arial"/>
          <w:b/>
          <w:lang w:eastAsia="en-US"/>
        </w:rPr>
        <w:t>QUESTIONS</w:t>
      </w:r>
      <w:r w:rsidRPr="00F4721A">
        <w:rPr>
          <w:rFonts w:cs="Arial"/>
          <w:b/>
          <w:lang w:eastAsia="en-US"/>
        </w:rPr>
        <w:t xml:space="preserve"> </w:t>
      </w:r>
      <w:r w:rsidRPr="003B10BD">
        <w:rPr>
          <w:rFonts w:cs="Arial"/>
          <w:b/>
          <w:i/>
          <w:lang w:eastAsia="en-US"/>
        </w:rPr>
        <w:t>(as issued to COPFS)</w:t>
      </w:r>
    </w:p>
    <w:p w:rsidR="00F4721A" w:rsidRDefault="00F4721A" w:rsidP="00346C89">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1.</w:t>
      </w:r>
      <w:r w:rsidRPr="003B10BD">
        <w:rPr>
          <w:rFonts w:cs="Arial"/>
          <w:lang w:eastAsia="en-US"/>
        </w:rPr>
        <w:tab/>
        <w:t xml:space="preserve">What would discourage you from making an application for taking evidence by a commissioner? </w:t>
      </w:r>
      <w:r w:rsidR="005D59A6">
        <w:rPr>
          <w:rFonts w:cs="Arial"/>
          <w:lang w:eastAsia="en-US"/>
        </w:rPr>
        <w:t xml:space="preserve"> </w:t>
      </w:r>
      <w:r w:rsidRPr="003B10BD">
        <w:rPr>
          <w:rFonts w:cs="Arial"/>
          <w:lang w:eastAsia="en-US"/>
        </w:rPr>
        <w:t>(</w:t>
      </w:r>
      <w:proofErr w:type="gramStart"/>
      <w:r w:rsidRPr="003B10BD">
        <w:rPr>
          <w:rFonts w:cs="Arial"/>
          <w:lang w:eastAsia="en-US"/>
        </w:rPr>
        <w:t>e.g</w:t>
      </w:r>
      <w:proofErr w:type="gramEnd"/>
      <w:r w:rsidRPr="003B10BD">
        <w:rPr>
          <w:rFonts w:cs="Arial"/>
          <w:lang w:eastAsia="en-US"/>
        </w:rPr>
        <w:t>. paperwork, distance to travel, difficulty to arrange etc.</w:t>
      </w:r>
      <w:r w:rsidR="005D59A6">
        <w:rPr>
          <w:rFonts w:cs="Arial"/>
          <w:lang w:eastAsia="en-US"/>
        </w:rPr>
        <w:t xml:space="preserve"> </w:t>
      </w:r>
      <w:r w:rsidRPr="003B10BD">
        <w:rPr>
          <w:rFonts w:cs="Arial"/>
          <w:lang w:eastAsia="en-US"/>
        </w:rPr>
        <w:t>)?</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2.</w:t>
      </w:r>
      <w:r w:rsidRPr="003B10BD">
        <w:rPr>
          <w:rFonts w:cs="Arial"/>
          <w:lang w:eastAsia="en-US"/>
        </w:rPr>
        <w:tab/>
        <w:t xml:space="preserve">Were there occasions when evidence by commissioner was considered but not used? If so, please give reasons why it was not used. </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3.</w:t>
      </w:r>
      <w:r w:rsidRPr="003B10BD">
        <w:rPr>
          <w:rFonts w:cs="Arial"/>
          <w:lang w:eastAsia="en-US"/>
        </w:rPr>
        <w:tab/>
        <w:t>What other measures, if any, were used instead?</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4.</w:t>
      </w:r>
      <w:r w:rsidRPr="003B10BD">
        <w:rPr>
          <w:rFonts w:cs="Arial"/>
          <w:lang w:eastAsia="en-US"/>
        </w:rPr>
        <w:tab/>
        <w:t>Were the views of the witness (and/or the views of the parent/guardian) sought to determine whether evidence by commissioner was the most suitable special measure?</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5.</w:t>
      </w:r>
      <w:r w:rsidRPr="003B10BD">
        <w:rPr>
          <w:rFonts w:cs="Arial"/>
          <w:lang w:eastAsia="en-US"/>
        </w:rPr>
        <w:tab/>
        <w:t>Did you find the template that was introduced to coincide with the Practice Note helpful? Was there anything that could be improved with the template?</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6.</w:t>
      </w:r>
      <w:r w:rsidRPr="003B10BD">
        <w:rPr>
          <w:rFonts w:cs="Arial"/>
          <w:lang w:eastAsia="en-US"/>
        </w:rPr>
        <w:tab/>
        <w:t>Did the Crown and the defence have an opportunity to discuss the conduct of the commission in advance?</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7.</w:t>
      </w:r>
      <w:r w:rsidRPr="003B10BD">
        <w:rPr>
          <w:rFonts w:cs="Arial"/>
          <w:lang w:eastAsia="en-US"/>
        </w:rPr>
        <w:tab/>
        <w:t xml:space="preserve">If so, were you able to limit the issues to be addressed or the duration of the commission? </w:t>
      </w:r>
      <w:proofErr w:type="gramStart"/>
      <w:r w:rsidRPr="003B10BD">
        <w:rPr>
          <w:rFonts w:cs="Arial"/>
          <w:lang w:eastAsia="en-US"/>
        </w:rPr>
        <w:t>And in what way?</w:t>
      </w:r>
      <w:proofErr w:type="gramEnd"/>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8.</w:t>
      </w:r>
      <w:r w:rsidRPr="003B10BD">
        <w:rPr>
          <w:rFonts w:cs="Arial"/>
          <w:lang w:eastAsia="en-US"/>
        </w:rPr>
        <w:tab/>
        <w:t>Was there a visually recorded prior statement?</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9.</w:t>
      </w:r>
      <w:r w:rsidRPr="003B10BD">
        <w:rPr>
          <w:rFonts w:cs="Arial"/>
          <w:lang w:eastAsia="en-US"/>
        </w:rPr>
        <w:tab/>
        <w:t xml:space="preserve">If so, was it used as evidence in chief? </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10.</w:t>
      </w:r>
      <w:r w:rsidRPr="003B10BD">
        <w:rPr>
          <w:rFonts w:cs="Arial"/>
          <w:lang w:eastAsia="en-US"/>
        </w:rPr>
        <w:tab/>
        <w:t xml:space="preserve">Did the crown need to ask any supplementary questions before cross examination? </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11.</w:t>
      </w:r>
      <w:r w:rsidRPr="003B10BD">
        <w:rPr>
          <w:rFonts w:cs="Arial"/>
          <w:lang w:eastAsia="en-US"/>
        </w:rPr>
        <w:tab/>
        <w:t>What arrangements were made to show the visually recorded prior statement to the witness before the commission?</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12.</w:t>
      </w:r>
      <w:r w:rsidRPr="003B10BD">
        <w:rPr>
          <w:rFonts w:cs="Arial"/>
          <w:lang w:eastAsia="en-US"/>
        </w:rPr>
        <w:tab/>
        <w:t xml:space="preserve">Did the judge have an opportunity to see it?  </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13.</w:t>
      </w:r>
      <w:r w:rsidRPr="003B10BD">
        <w:rPr>
          <w:rFonts w:cs="Arial"/>
          <w:lang w:eastAsia="en-US"/>
        </w:rPr>
        <w:tab/>
        <w:t>Did any material emerge subsequent to the commission which would have the affected the way the commission was conducted or any of the questions asked?</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14.</w:t>
      </w:r>
      <w:r w:rsidRPr="003B10BD">
        <w:rPr>
          <w:rFonts w:cs="Arial"/>
          <w:lang w:eastAsia="en-US"/>
        </w:rPr>
        <w:tab/>
        <w:t>If so, how that was dealt with?</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15.</w:t>
      </w:r>
      <w:r w:rsidRPr="003B10BD">
        <w:rPr>
          <w:rFonts w:cs="Arial"/>
          <w:lang w:eastAsia="en-US"/>
        </w:rPr>
        <w:tab/>
        <w:t xml:space="preserve">How long did the commission hearing take? </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16.</w:t>
      </w:r>
      <w:r w:rsidRPr="003B10BD">
        <w:rPr>
          <w:rFonts w:cs="Arial"/>
          <w:lang w:eastAsia="en-US"/>
        </w:rPr>
        <w:tab/>
        <w:t>Can you provide an estimate of how long the witness’ evidence might have been expected to take if given only at trial?</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17.</w:t>
      </w:r>
      <w:r w:rsidRPr="003B10BD">
        <w:rPr>
          <w:rFonts w:cs="Arial"/>
          <w:lang w:eastAsia="en-US"/>
        </w:rPr>
        <w:tab/>
        <w:t>Did it result in the need for the witness to attend the trial?</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18.</w:t>
      </w:r>
      <w:r w:rsidRPr="003B10BD">
        <w:rPr>
          <w:rFonts w:cs="Arial"/>
          <w:lang w:eastAsia="en-US"/>
        </w:rPr>
        <w:tab/>
        <w:t xml:space="preserve">Did you require </w:t>
      </w:r>
      <w:proofErr w:type="gramStart"/>
      <w:r w:rsidRPr="003B10BD">
        <w:rPr>
          <w:rFonts w:cs="Arial"/>
          <w:lang w:eastAsia="en-US"/>
        </w:rPr>
        <w:t>to ask</w:t>
      </w:r>
      <w:proofErr w:type="gramEnd"/>
      <w:r w:rsidRPr="003B10BD">
        <w:rPr>
          <w:rFonts w:cs="Arial"/>
          <w:lang w:eastAsia="en-US"/>
        </w:rPr>
        <w:t xml:space="preserve"> the witness further questions at the trial? (</w:t>
      </w:r>
      <w:proofErr w:type="gramStart"/>
      <w:r w:rsidRPr="003B10BD">
        <w:rPr>
          <w:rFonts w:cs="Arial"/>
          <w:lang w:eastAsia="en-US"/>
        </w:rPr>
        <w:t>e.g</w:t>
      </w:r>
      <w:proofErr w:type="gramEnd"/>
      <w:r w:rsidRPr="003B10BD">
        <w:rPr>
          <w:rFonts w:cs="Arial"/>
          <w:lang w:eastAsia="en-US"/>
        </w:rPr>
        <w:t>. if new evidence came out during the trial).</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19.</w:t>
      </w:r>
      <w:r w:rsidRPr="003B10BD">
        <w:rPr>
          <w:rFonts w:cs="Arial"/>
          <w:lang w:eastAsia="en-US"/>
        </w:rPr>
        <w:tab/>
        <w:t>If so, how was this achieved?</w:t>
      </w:r>
    </w:p>
    <w:p w:rsidR="003B10BD" w:rsidRPr="003B10BD" w:rsidRDefault="003B10BD" w:rsidP="003B10BD">
      <w:pPr>
        <w:spacing w:after="0" w:line="240" w:lineRule="auto"/>
        <w:rPr>
          <w:rFonts w:cs="Arial"/>
          <w:lang w:eastAsia="en-US"/>
        </w:rPr>
      </w:pPr>
    </w:p>
    <w:p w:rsidR="003B10BD" w:rsidRPr="003B10BD" w:rsidRDefault="003B10BD" w:rsidP="003B10BD">
      <w:pPr>
        <w:spacing w:after="0" w:line="240" w:lineRule="auto"/>
        <w:rPr>
          <w:rFonts w:cs="Arial"/>
          <w:lang w:eastAsia="en-US"/>
        </w:rPr>
      </w:pPr>
      <w:r w:rsidRPr="003B10BD">
        <w:rPr>
          <w:rFonts w:cs="Arial"/>
          <w:lang w:eastAsia="en-US"/>
        </w:rPr>
        <w:t>20.</w:t>
      </w:r>
      <w:r w:rsidRPr="003B10BD">
        <w:rPr>
          <w:rFonts w:cs="Arial"/>
          <w:lang w:eastAsia="en-US"/>
        </w:rPr>
        <w:tab/>
      </w:r>
      <w:proofErr w:type="gramStart"/>
      <w:r w:rsidRPr="003B10BD">
        <w:rPr>
          <w:rFonts w:cs="Arial"/>
          <w:lang w:eastAsia="en-US"/>
        </w:rPr>
        <w:t>Was</w:t>
      </w:r>
      <w:proofErr w:type="gramEnd"/>
      <w:r w:rsidRPr="003B10BD">
        <w:rPr>
          <w:rFonts w:cs="Arial"/>
          <w:lang w:eastAsia="en-US"/>
        </w:rPr>
        <w:t xml:space="preserve"> there anything that could be improved?</w:t>
      </w:r>
    </w:p>
    <w:p w:rsidR="00346C89" w:rsidRPr="00346C89" w:rsidRDefault="00346C89" w:rsidP="00346C89">
      <w:pPr>
        <w:spacing w:after="0" w:line="240" w:lineRule="auto"/>
        <w:rPr>
          <w:rFonts w:cs="Arial"/>
          <w:lang w:eastAsia="en-US"/>
        </w:rPr>
      </w:pPr>
    </w:p>
    <w:p w:rsidR="00346C89" w:rsidRPr="00346C89" w:rsidRDefault="00346C89" w:rsidP="00346C89">
      <w:pPr>
        <w:spacing w:after="0" w:line="240" w:lineRule="auto"/>
        <w:rPr>
          <w:rFonts w:cs="Arial"/>
          <w:lang w:eastAsia="en-US"/>
        </w:rPr>
      </w:pPr>
    </w:p>
    <w:p w:rsidR="00346C89" w:rsidRPr="00346C89" w:rsidRDefault="00346C89" w:rsidP="00346C89">
      <w:pPr>
        <w:pStyle w:val="NoSpacing"/>
      </w:pPr>
    </w:p>
    <w:sectPr w:rsidR="00346C89" w:rsidRPr="00346C89" w:rsidSect="00D65C9A">
      <w:headerReference w:type="default" r:id="rId11"/>
      <w:footerReference w:type="defaul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729" w:rsidRDefault="00160729" w:rsidP="00346C89">
      <w:pPr>
        <w:spacing w:after="0" w:line="240" w:lineRule="auto"/>
      </w:pPr>
      <w:r>
        <w:separator/>
      </w:r>
    </w:p>
  </w:endnote>
  <w:endnote w:type="continuationSeparator" w:id="0">
    <w:p w:rsidR="00160729" w:rsidRDefault="00160729" w:rsidP="0034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010164"/>
      <w:docPartObj>
        <w:docPartGallery w:val="Page Numbers (Bottom of Page)"/>
        <w:docPartUnique/>
      </w:docPartObj>
    </w:sdtPr>
    <w:sdtEndPr>
      <w:rPr>
        <w:i/>
        <w:noProof/>
        <w:sz w:val="20"/>
        <w:szCs w:val="20"/>
      </w:rPr>
    </w:sdtEndPr>
    <w:sdtContent>
      <w:p w:rsidR="00B51734" w:rsidRPr="00B51734" w:rsidRDefault="00B51734" w:rsidP="00B51734">
        <w:pPr>
          <w:pStyle w:val="NoSpacing"/>
          <w:jc w:val="center"/>
          <w:rPr>
            <w:i/>
            <w:sz w:val="20"/>
            <w:szCs w:val="20"/>
          </w:rPr>
        </w:pPr>
        <w:r w:rsidRPr="00B51734">
          <w:rPr>
            <w:i/>
            <w:sz w:val="20"/>
            <w:szCs w:val="20"/>
          </w:rPr>
          <w:fldChar w:fldCharType="begin"/>
        </w:r>
        <w:r w:rsidRPr="00B51734">
          <w:rPr>
            <w:i/>
            <w:sz w:val="20"/>
            <w:szCs w:val="20"/>
          </w:rPr>
          <w:instrText xml:space="preserve"> PAGE   \* MERGEFORMAT </w:instrText>
        </w:r>
        <w:r w:rsidRPr="00B51734">
          <w:rPr>
            <w:i/>
            <w:sz w:val="20"/>
            <w:szCs w:val="20"/>
          </w:rPr>
          <w:fldChar w:fldCharType="separate"/>
        </w:r>
        <w:r w:rsidR="00C567A4">
          <w:rPr>
            <w:i/>
            <w:noProof/>
            <w:sz w:val="20"/>
            <w:szCs w:val="20"/>
          </w:rPr>
          <w:t>2</w:t>
        </w:r>
        <w:r w:rsidRPr="00B51734">
          <w:rPr>
            <w:i/>
            <w:noProof/>
            <w:sz w:val="20"/>
            <w:szCs w:val="20"/>
          </w:rPr>
          <w:fldChar w:fldCharType="end"/>
        </w:r>
      </w:p>
    </w:sdtContent>
  </w:sdt>
  <w:p w:rsidR="00B51734" w:rsidRPr="00B51734" w:rsidRDefault="00B51734" w:rsidP="00B51734">
    <w:pPr>
      <w:pStyle w:val="NoSpacing"/>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729" w:rsidRDefault="00160729" w:rsidP="00346C89">
      <w:pPr>
        <w:spacing w:after="0" w:line="240" w:lineRule="auto"/>
      </w:pPr>
      <w:r>
        <w:separator/>
      </w:r>
    </w:p>
  </w:footnote>
  <w:footnote w:type="continuationSeparator" w:id="0">
    <w:p w:rsidR="00160729" w:rsidRDefault="00160729" w:rsidP="00346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29" w:rsidRPr="00D65C9A" w:rsidRDefault="00D65C9A" w:rsidP="00D65C9A">
    <w:pPr>
      <w:pStyle w:val="NoSpacing"/>
      <w:jc w:val="center"/>
      <w:rPr>
        <w:i/>
        <w:color w:val="365F91" w:themeColor="accent1" w:themeShade="BF"/>
      </w:rPr>
    </w:pPr>
    <w:r w:rsidRPr="00D65C9A">
      <w:rPr>
        <w:i/>
        <w:color w:val="365F91" w:themeColor="accent1" w:themeShade="BF"/>
      </w:rPr>
      <w:t>Evaluation Report No. 1 – Practice Note 1 of 2017 (Evidence by Commissioner)</w:t>
    </w:r>
  </w:p>
  <w:p w:rsidR="00B51734" w:rsidRPr="00D65C9A" w:rsidRDefault="00B51734" w:rsidP="00D65C9A">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672"/>
    <w:multiLevelType w:val="hybridMultilevel"/>
    <w:tmpl w:val="A0F8E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9A033B"/>
    <w:multiLevelType w:val="hybridMultilevel"/>
    <w:tmpl w:val="51A6AF36"/>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8F94ECC"/>
    <w:multiLevelType w:val="hybridMultilevel"/>
    <w:tmpl w:val="7FB4B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B27386"/>
    <w:multiLevelType w:val="hybridMultilevel"/>
    <w:tmpl w:val="5BAC51BA"/>
    <w:lvl w:ilvl="0" w:tplc="B6044B4A">
      <w:numFmt w:val="bullet"/>
      <w:lvlText w:val=""/>
      <w:lvlJc w:val="left"/>
      <w:pPr>
        <w:ind w:left="1200" w:hanging="360"/>
      </w:pPr>
      <w:rPr>
        <w:rFonts w:ascii="Symbol" w:eastAsia="Symbol" w:hAnsi="Symbol" w:cs="Symbol" w:hint="default"/>
        <w:w w:val="100"/>
        <w:sz w:val="24"/>
        <w:szCs w:val="24"/>
      </w:rPr>
    </w:lvl>
    <w:lvl w:ilvl="1" w:tplc="BCEC5474">
      <w:numFmt w:val="bullet"/>
      <w:lvlText w:val="•"/>
      <w:lvlJc w:val="left"/>
      <w:pPr>
        <w:ind w:left="1934" w:hanging="360"/>
      </w:pPr>
      <w:rPr>
        <w:rFonts w:hint="default"/>
      </w:rPr>
    </w:lvl>
    <w:lvl w:ilvl="2" w:tplc="410CF40E">
      <w:numFmt w:val="bullet"/>
      <w:lvlText w:val="•"/>
      <w:lvlJc w:val="left"/>
      <w:pPr>
        <w:ind w:left="2669" w:hanging="360"/>
      </w:pPr>
      <w:rPr>
        <w:rFonts w:hint="default"/>
      </w:rPr>
    </w:lvl>
    <w:lvl w:ilvl="3" w:tplc="60309AA8">
      <w:numFmt w:val="bullet"/>
      <w:lvlText w:val="•"/>
      <w:lvlJc w:val="left"/>
      <w:pPr>
        <w:ind w:left="3403" w:hanging="360"/>
      </w:pPr>
      <w:rPr>
        <w:rFonts w:hint="default"/>
      </w:rPr>
    </w:lvl>
    <w:lvl w:ilvl="4" w:tplc="B77A48EC">
      <w:numFmt w:val="bullet"/>
      <w:lvlText w:val="•"/>
      <w:lvlJc w:val="left"/>
      <w:pPr>
        <w:ind w:left="4138" w:hanging="360"/>
      </w:pPr>
      <w:rPr>
        <w:rFonts w:hint="default"/>
      </w:rPr>
    </w:lvl>
    <w:lvl w:ilvl="5" w:tplc="11CAB7E6">
      <w:numFmt w:val="bullet"/>
      <w:lvlText w:val="•"/>
      <w:lvlJc w:val="left"/>
      <w:pPr>
        <w:ind w:left="4873" w:hanging="360"/>
      </w:pPr>
      <w:rPr>
        <w:rFonts w:hint="default"/>
      </w:rPr>
    </w:lvl>
    <w:lvl w:ilvl="6" w:tplc="6178B744">
      <w:numFmt w:val="bullet"/>
      <w:lvlText w:val="•"/>
      <w:lvlJc w:val="left"/>
      <w:pPr>
        <w:ind w:left="5607" w:hanging="360"/>
      </w:pPr>
      <w:rPr>
        <w:rFonts w:hint="default"/>
      </w:rPr>
    </w:lvl>
    <w:lvl w:ilvl="7" w:tplc="3B5C9AD8">
      <w:numFmt w:val="bullet"/>
      <w:lvlText w:val="•"/>
      <w:lvlJc w:val="left"/>
      <w:pPr>
        <w:ind w:left="6342" w:hanging="360"/>
      </w:pPr>
      <w:rPr>
        <w:rFonts w:hint="default"/>
      </w:rPr>
    </w:lvl>
    <w:lvl w:ilvl="8" w:tplc="CC1CCF3A">
      <w:numFmt w:val="bullet"/>
      <w:lvlText w:val="•"/>
      <w:lvlJc w:val="left"/>
      <w:pPr>
        <w:ind w:left="7077" w:hanging="360"/>
      </w:pPr>
      <w:rPr>
        <w:rFonts w:hint="default"/>
      </w:rPr>
    </w:lvl>
  </w:abstractNum>
  <w:abstractNum w:abstractNumId="4">
    <w:nsid w:val="26E1342B"/>
    <w:multiLevelType w:val="hybridMultilevel"/>
    <w:tmpl w:val="2C82F1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F3B2463"/>
    <w:multiLevelType w:val="hybridMultilevel"/>
    <w:tmpl w:val="69D6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9B0ABE"/>
    <w:multiLevelType w:val="hybridMultilevel"/>
    <w:tmpl w:val="9C9CA76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3173336E"/>
    <w:multiLevelType w:val="hybridMultilevel"/>
    <w:tmpl w:val="984AC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3142FE"/>
    <w:multiLevelType w:val="hybridMultilevel"/>
    <w:tmpl w:val="74404292"/>
    <w:lvl w:ilvl="0" w:tplc="36666FCE">
      <w:numFmt w:val="bullet"/>
      <w:lvlText w:val=""/>
      <w:lvlJc w:val="left"/>
      <w:pPr>
        <w:ind w:left="1200" w:hanging="360"/>
      </w:pPr>
      <w:rPr>
        <w:rFonts w:ascii="Symbol" w:eastAsia="Symbol" w:hAnsi="Symbol" w:cs="Symbol" w:hint="default"/>
        <w:w w:val="100"/>
        <w:sz w:val="24"/>
        <w:szCs w:val="24"/>
      </w:rPr>
    </w:lvl>
    <w:lvl w:ilvl="1" w:tplc="A9ACC796">
      <w:numFmt w:val="bullet"/>
      <w:lvlText w:val="•"/>
      <w:lvlJc w:val="left"/>
      <w:pPr>
        <w:ind w:left="1934" w:hanging="360"/>
      </w:pPr>
      <w:rPr>
        <w:rFonts w:hint="default"/>
      </w:rPr>
    </w:lvl>
    <w:lvl w:ilvl="2" w:tplc="42121702">
      <w:numFmt w:val="bullet"/>
      <w:lvlText w:val="•"/>
      <w:lvlJc w:val="left"/>
      <w:pPr>
        <w:ind w:left="2669" w:hanging="360"/>
      </w:pPr>
      <w:rPr>
        <w:rFonts w:hint="default"/>
      </w:rPr>
    </w:lvl>
    <w:lvl w:ilvl="3" w:tplc="E5F69792">
      <w:numFmt w:val="bullet"/>
      <w:lvlText w:val="•"/>
      <w:lvlJc w:val="left"/>
      <w:pPr>
        <w:ind w:left="3403" w:hanging="360"/>
      </w:pPr>
      <w:rPr>
        <w:rFonts w:hint="default"/>
      </w:rPr>
    </w:lvl>
    <w:lvl w:ilvl="4" w:tplc="20BAFAF0">
      <w:numFmt w:val="bullet"/>
      <w:lvlText w:val="•"/>
      <w:lvlJc w:val="left"/>
      <w:pPr>
        <w:ind w:left="4138" w:hanging="360"/>
      </w:pPr>
      <w:rPr>
        <w:rFonts w:hint="default"/>
      </w:rPr>
    </w:lvl>
    <w:lvl w:ilvl="5" w:tplc="5AEECC3C">
      <w:numFmt w:val="bullet"/>
      <w:lvlText w:val="•"/>
      <w:lvlJc w:val="left"/>
      <w:pPr>
        <w:ind w:left="4873" w:hanging="360"/>
      </w:pPr>
      <w:rPr>
        <w:rFonts w:hint="default"/>
      </w:rPr>
    </w:lvl>
    <w:lvl w:ilvl="6" w:tplc="BA946276">
      <w:numFmt w:val="bullet"/>
      <w:lvlText w:val="•"/>
      <w:lvlJc w:val="left"/>
      <w:pPr>
        <w:ind w:left="5607" w:hanging="360"/>
      </w:pPr>
      <w:rPr>
        <w:rFonts w:hint="default"/>
      </w:rPr>
    </w:lvl>
    <w:lvl w:ilvl="7" w:tplc="BE8ED7E0">
      <w:numFmt w:val="bullet"/>
      <w:lvlText w:val="•"/>
      <w:lvlJc w:val="left"/>
      <w:pPr>
        <w:ind w:left="6342" w:hanging="360"/>
      </w:pPr>
      <w:rPr>
        <w:rFonts w:hint="default"/>
      </w:rPr>
    </w:lvl>
    <w:lvl w:ilvl="8" w:tplc="664626FC">
      <w:numFmt w:val="bullet"/>
      <w:lvlText w:val="•"/>
      <w:lvlJc w:val="left"/>
      <w:pPr>
        <w:ind w:left="7077" w:hanging="360"/>
      </w:pPr>
      <w:rPr>
        <w:rFonts w:hint="default"/>
      </w:rPr>
    </w:lvl>
  </w:abstractNum>
  <w:abstractNum w:abstractNumId="9">
    <w:nsid w:val="409F64A7"/>
    <w:multiLevelType w:val="hybridMultilevel"/>
    <w:tmpl w:val="733A11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9D35BF7"/>
    <w:multiLevelType w:val="hybridMultilevel"/>
    <w:tmpl w:val="C1F2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6A2120"/>
    <w:multiLevelType w:val="hybridMultilevel"/>
    <w:tmpl w:val="E1FE57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DEB7B56"/>
    <w:multiLevelType w:val="hybridMultilevel"/>
    <w:tmpl w:val="CC72D3E2"/>
    <w:lvl w:ilvl="0" w:tplc="08090003">
      <w:start w:val="1"/>
      <w:numFmt w:val="bullet"/>
      <w:lvlText w:val="o"/>
      <w:lvlJc w:val="left"/>
      <w:pPr>
        <w:ind w:left="25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4EC17B9D"/>
    <w:multiLevelType w:val="hybridMultilevel"/>
    <w:tmpl w:val="25126F7C"/>
    <w:lvl w:ilvl="0" w:tplc="404863B4">
      <w:numFmt w:val="bullet"/>
      <w:lvlText w:val=""/>
      <w:lvlJc w:val="left"/>
      <w:pPr>
        <w:ind w:left="1200" w:hanging="360"/>
      </w:pPr>
      <w:rPr>
        <w:rFonts w:ascii="Symbol" w:eastAsia="Symbol" w:hAnsi="Symbol" w:cs="Symbol" w:hint="default"/>
        <w:w w:val="100"/>
        <w:sz w:val="24"/>
        <w:szCs w:val="24"/>
      </w:rPr>
    </w:lvl>
    <w:lvl w:ilvl="1" w:tplc="78560BF0">
      <w:numFmt w:val="bullet"/>
      <w:lvlText w:val="•"/>
      <w:lvlJc w:val="left"/>
      <w:pPr>
        <w:ind w:left="1934" w:hanging="360"/>
      </w:pPr>
      <w:rPr>
        <w:rFonts w:hint="default"/>
      </w:rPr>
    </w:lvl>
    <w:lvl w:ilvl="2" w:tplc="7316B2D8">
      <w:numFmt w:val="bullet"/>
      <w:lvlText w:val="•"/>
      <w:lvlJc w:val="left"/>
      <w:pPr>
        <w:ind w:left="2669" w:hanging="360"/>
      </w:pPr>
      <w:rPr>
        <w:rFonts w:hint="default"/>
      </w:rPr>
    </w:lvl>
    <w:lvl w:ilvl="3" w:tplc="82CC3C2A">
      <w:numFmt w:val="bullet"/>
      <w:lvlText w:val="•"/>
      <w:lvlJc w:val="left"/>
      <w:pPr>
        <w:ind w:left="3403" w:hanging="360"/>
      </w:pPr>
      <w:rPr>
        <w:rFonts w:hint="default"/>
      </w:rPr>
    </w:lvl>
    <w:lvl w:ilvl="4" w:tplc="78DCFBCC">
      <w:numFmt w:val="bullet"/>
      <w:lvlText w:val="•"/>
      <w:lvlJc w:val="left"/>
      <w:pPr>
        <w:ind w:left="4138" w:hanging="360"/>
      </w:pPr>
      <w:rPr>
        <w:rFonts w:hint="default"/>
      </w:rPr>
    </w:lvl>
    <w:lvl w:ilvl="5" w:tplc="52365452">
      <w:numFmt w:val="bullet"/>
      <w:lvlText w:val="•"/>
      <w:lvlJc w:val="left"/>
      <w:pPr>
        <w:ind w:left="4873" w:hanging="360"/>
      </w:pPr>
      <w:rPr>
        <w:rFonts w:hint="default"/>
      </w:rPr>
    </w:lvl>
    <w:lvl w:ilvl="6" w:tplc="3BFA59B6">
      <w:numFmt w:val="bullet"/>
      <w:lvlText w:val="•"/>
      <w:lvlJc w:val="left"/>
      <w:pPr>
        <w:ind w:left="5607" w:hanging="360"/>
      </w:pPr>
      <w:rPr>
        <w:rFonts w:hint="default"/>
      </w:rPr>
    </w:lvl>
    <w:lvl w:ilvl="7" w:tplc="185E46A2">
      <w:numFmt w:val="bullet"/>
      <w:lvlText w:val="•"/>
      <w:lvlJc w:val="left"/>
      <w:pPr>
        <w:ind w:left="6342" w:hanging="360"/>
      </w:pPr>
      <w:rPr>
        <w:rFonts w:hint="default"/>
      </w:rPr>
    </w:lvl>
    <w:lvl w:ilvl="8" w:tplc="2C8EBB44">
      <w:numFmt w:val="bullet"/>
      <w:lvlText w:val="•"/>
      <w:lvlJc w:val="left"/>
      <w:pPr>
        <w:ind w:left="7077" w:hanging="360"/>
      </w:pPr>
      <w:rPr>
        <w:rFonts w:hint="default"/>
      </w:rPr>
    </w:lvl>
  </w:abstractNum>
  <w:abstractNum w:abstractNumId="14">
    <w:nsid w:val="54533559"/>
    <w:multiLevelType w:val="hybridMultilevel"/>
    <w:tmpl w:val="C9D2FFBC"/>
    <w:lvl w:ilvl="0" w:tplc="8D42969C">
      <w:numFmt w:val="bullet"/>
      <w:lvlText w:val=""/>
      <w:lvlJc w:val="left"/>
      <w:pPr>
        <w:ind w:left="1200" w:hanging="360"/>
      </w:pPr>
      <w:rPr>
        <w:rFonts w:ascii="Symbol" w:eastAsia="Symbol" w:hAnsi="Symbol" w:cs="Symbol" w:hint="default"/>
        <w:w w:val="100"/>
        <w:sz w:val="24"/>
        <w:szCs w:val="24"/>
      </w:rPr>
    </w:lvl>
    <w:lvl w:ilvl="1" w:tplc="80F2543A">
      <w:numFmt w:val="bullet"/>
      <w:lvlText w:val="•"/>
      <w:lvlJc w:val="left"/>
      <w:pPr>
        <w:ind w:left="1934" w:hanging="360"/>
      </w:pPr>
      <w:rPr>
        <w:rFonts w:hint="default"/>
      </w:rPr>
    </w:lvl>
    <w:lvl w:ilvl="2" w:tplc="9776FD3A">
      <w:numFmt w:val="bullet"/>
      <w:lvlText w:val="•"/>
      <w:lvlJc w:val="left"/>
      <w:pPr>
        <w:ind w:left="2669" w:hanging="360"/>
      </w:pPr>
      <w:rPr>
        <w:rFonts w:hint="default"/>
      </w:rPr>
    </w:lvl>
    <w:lvl w:ilvl="3" w:tplc="3ED261FE">
      <w:numFmt w:val="bullet"/>
      <w:lvlText w:val="•"/>
      <w:lvlJc w:val="left"/>
      <w:pPr>
        <w:ind w:left="3403" w:hanging="360"/>
      </w:pPr>
      <w:rPr>
        <w:rFonts w:hint="default"/>
      </w:rPr>
    </w:lvl>
    <w:lvl w:ilvl="4" w:tplc="CB8E7E3C">
      <w:numFmt w:val="bullet"/>
      <w:lvlText w:val="•"/>
      <w:lvlJc w:val="left"/>
      <w:pPr>
        <w:ind w:left="4138" w:hanging="360"/>
      </w:pPr>
      <w:rPr>
        <w:rFonts w:hint="default"/>
      </w:rPr>
    </w:lvl>
    <w:lvl w:ilvl="5" w:tplc="36B4EBBC">
      <w:numFmt w:val="bullet"/>
      <w:lvlText w:val="•"/>
      <w:lvlJc w:val="left"/>
      <w:pPr>
        <w:ind w:left="4873" w:hanging="360"/>
      </w:pPr>
      <w:rPr>
        <w:rFonts w:hint="default"/>
      </w:rPr>
    </w:lvl>
    <w:lvl w:ilvl="6" w:tplc="2BB8AC76">
      <w:numFmt w:val="bullet"/>
      <w:lvlText w:val="•"/>
      <w:lvlJc w:val="left"/>
      <w:pPr>
        <w:ind w:left="5607" w:hanging="360"/>
      </w:pPr>
      <w:rPr>
        <w:rFonts w:hint="default"/>
      </w:rPr>
    </w:lvl>
    <w:lvl w:ilvl="7" w:tplc="DDC44412">
      <w:numFmt w:val="bullet"/>
      <w:lvlText w:val="•"/>
      <w:lvlJc w:val="left"/>
      <w:pPr>
        <w:ind w:left="6342" w:hanging="360"/>
      </w:pPr>
      <w:rPr>
        <w:rFonts w:hint="default"/>
      </w:rPr>
    </w:lvl>
    <w:lvl w:ilvl="8" w:tplc="BB460ACA">
      <w:numFmt w:val="bullet"/>
      <w:lvlText w:val="•"/>
      <w:lvlJc w:val="left"/>
      <w:pPr>
        <w:ind w:left="7077" w:hanging="360"/>
      </w:pPr>
      <w:rPr>
        <w:rFonts w:hint="default"/>
      </w:rPr>
    </w:lvl>
  </w:abstractNum>
  <w:abstractNum w:abstractNumId="15">
    <w:nsid w:val="59A0147E"/>
    <w:multiLevelType w:val="hybridMultilevel"/>
    <w:tmpl w:val="C78CF5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A151555"/>
    <w:multiLevelType w:val="hybridMultilevel"/>
    <w:tmpl w:val="F544DEF6"/>
    <w:lvl w:ilvl="0" w:tplc="07EE715C">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nsid w:val="73BF3FA0"/>
    <w:multiLevelType w:val="hybridMultilevel"/>
    <w:tmpl w:val="2C6C9474"/>
    <w:lvl w:ilvl="0" w:tplc="ABA2E9C6">
      <w:start w:val="1"/>
      <w:numFmt w:val="decimal"/>
      <w:lvlText w:val="%1."/>
      <w:lvlJc w:val="left"/>
      <w:pPr>
        <w:ind w:left="840" w:hanging="720"/>
      </w:pPr>
      <w:rPr>
        <w:rFonts w:ascii="Palatino Linotype" w:eastAsia="Palatino Linotype" w:hAnsi="Palatino Linotype" w:cs="Palatino Linotype" w:hint="default"/>
        <w:spacing w:val="-3"/>
        <w:w w:val="100"/>
        <w:sz w:val="24"/>
        <w:szCs w:val="24"/>
      </w:rPr>
    </w:lvl>
    <w:lvl w:ilvl="1" w:tplc="10F2966C">
      <w:start w:val="1"/>
      <w:numFmt w:val="lowerLetter"/>
      <w:lvlText w:val="(%2)"/>
      <w:lvlJc w:val="left"/>
      <w:pPr>
        <w:ind w:left="1560" w:hanging="720"/>
      </w:pPr>
      <w:rPr>
        <w:rFonts w:ascii="Palatino Linotype" w:eastAsia="Palatino Linotype" w:hAnsi="Palatino Linotype" w:cs="Palatino Linotype" w:hint="default"/>
        <w:spacing w:val="-4"/>
        <w:w w:val="100"/>
        <w:sz w:val="24"/>
        <w:szCs w:val="24"/>
      </w:rPr>
    </w:lvl>
    <w:lvl w:ilvl="2" w:tplc="3B7A4554">
      <w:numFmt w:val="bullet"/>
      <w:lvlText w:val="•"/>
      <w:lvlJc w:val="left"/>
      <w:pPr>
        <w:ind w:left="2336" w:hanging="720"/>
      </w:pPr>
      <w:rPr>
        <w:rFonts w:hint="default"/>
      </w:rPr>
    </w:lvl>
    <w:lvl w:ilvl="3" w:tplc="F7040888">
      <w:numFmt w:val="bullet"/>
      <w:lvlText w:val="•"/>
      <w:lvlJc w:val="left"/>
      <w:pPr>
        <w:ind w:left="3112" w:hanging="720"/>
      </w:pPr>
      <w:rPr>
        <w:rFonts w:hint="default"/>
      </w:rPr>
    </w:lvl>
    <w:lvl w:ilvl="4" w:tplc="B4AEF972">
      <w:numFmt w:val="bullet"/>
      <w:lvlText w:val="•"/>
      <w:lvlJc w:val="left"/>
      <w:pPr>
        <w:ind w:left="3888" w:hanging="720"/>
      </w:pPr>
      <w:rPr>
        <w:rFonts w:hint="default"/>
      </w:rPr>
    </w:lvl>
    <w:lvl w:ilvl="5" w:tplc="35961A40">
      <w:numFmt w:val="bullet"/>
      <w:lvlText w:val="•"/>
      <w:lvlJc w:val="left"/>
      <w:pPr>
        <w:ind w:left="4665" w:hanging="720"/>
      </w:pPr>
      <w:rPr>
        <w:rFonts w:hint="default"/>
      </w:rPr>
    </w:lvl>
    <w:lvl w:ilvl="6" w:tplc="4B86EA64">
      <w:numFmt w:val="bullet"/>
      <w:lvlText w:val="•"/>
      <w:lvlJc w:val="left"/>
      <w:pPr>
        <w:ind w:left="5441" w:hanging="720"/>
      </w:pPr>
      <w:rPr>
        <w:rFonts w:hint="default"/>
      </w:rPr>
    </w:lvl>
    <w:lvl w:ilvl="7" w:tplc="7E5E6224">
      <w:numFmt w:val="bullet"/>
      <w:lvlText w:val="•"/>
      <w:lvlJc w:val="left"/>
      <w:pPr>
        <w:ind w:left="6217" w:hanging="720"/>
      </w:pPr>
      <w:rPr>
        <w:rFonts w:hint="default"/>
      </w:rPr>
    </w:lvl>
    <w:lvl w:ilvl="8" w:tplc="9E5A4FF0">
      <w:numFmt w:val="bullet"/>
      <w:lvlText w:val="•"/>
      <w:lvlJc w:val="left"/>
      <w:pPr>
        <w:ind w:left="6993" w:hanging="720"/>
      </w:pPr>
      <w:rPr>
        <w:rFonts w:hint="default"/>
      </w:rPr>
    </w:lvl>
  </w:abstractNum>
  <w:abstractNum w:abstractNumId="18">
    <w:nsid w:val="7534274D"/>
    <w:multiLevelType w:val="hybridMultilevel"/>
    <w:tmpl w:val="BA804E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946F50"/>
    <w:multiLevelType w:val="hybridMultilevel"/>
    <w:tmpl w:val="25407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DC6EE8"/>
    <w:multiLevelType w:val="hybridMultilevel"/>
    <w:tmpl w:val="0A968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3"/>
  </w:num>
  <w:num w:numId="5">
    <w:abstractNumId w:val="8"/>
  </w:num>
  <w:num w:numId="6">
    <w:abstractNumId w:val="17"/>
  </w:num>
  <w:num w:numId="7">
    <w:abstractNumId w:val="12"/>
  </w:num>
  <w:num w:numId="8">
    <w:abstractNumId w:val="6"/>
  </w:num>
  <w:num w:numId="9">
    <w:abstractNumId w:val="18"/>
  </w:num>
  <w:num w:numId="10">
    <w:abstractNumId w:val="9"/>
  </w:num>
  <w:num w:numId="11">
    <w:abstractNumId w:val="11"/>
  </w:num>
  <w:num w:numId="12">
    <w:abstractNumId w:val="1"/>
  </w:num>
  <w:num w:numId="13">
    <w:abstractNumId w:val="19"/>
  </w:num>
  <w:num w:numId="14">
    <w:abstractNumId w:val="15"/>
  </w:num>
  <w:num w:numId="15">
    <w:abstractNumId w:val="4"/>
  </w:num>
  <w:num w:numId="16">
    <w:abstractNumId w:val="2"/>
  </w:num>
  <w:num w:numId="17">
    <w:abstractNumId w:val="20"/>
  </w:num>
  <w:num w:numId="18">
    <w:abstractNumId w:val="5"/>
  </w:num>
  <w:num w:numId="19">
    <w:abstractNumId w:val="0"/>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89"/>
    <w:rsid w:val="0000123C"/>
    <w:rsid w:val="00030826"/>
    <w:rsid w:val="000334B7"/>
    <w:rsid w:val="00064CB9"/>
    <w:rsid w:val="000A3D07"/>
    <w:rsid w:val="000D36CC"/>
    <w:rsid w:val="000E2C9B"/>
    <w:rsid w:val="0012449F"/>
    <w:rsid w:val="00160729"/>
    <w:rsid w:val="00176A69"/>
    <w:rsid w:val="00210547"/>
    <w:rsid w:val="00277BB4"/>
    <w:rsid w:val="002845F7"/>
    <w:rsid w:val="00293FB2"/>
    <w:rsid w:val="002B3A2E"/>
    <w:rsid w:val="002C6D70"/>
    <w:rsid w:val="002D2D6A"/>
    <w:rsid w:val="00311069"/>
    <w:rsid w:val="00346C89"/>
    <w:rsid w:val="00386704"/>
    <w:rsid w:val="003A0237"/>
    <w:rsid w:val="003B10BD"/>
    <w:rsid w:val="003B2291"/>
    <w:rsid w:val="003F153B"/>
    <w:rsid w:val="00416075"/>
    <w:rsid w:val="00435068"/>
    <w:rsid w:val="00442CC0"/>
    <w:rsid w:val="00556E25"/>
    <w:rsid w:val="00563957"/>
    <w:rsid w:val="005748D1"/>
    <w:rsid w:val="00596984"/>
    <w:rsid w:val="005B2040"/>
    <w:rsid w:val="005D2EC8"/>
    <w:rsid w:val="005D59A6"/>
    <w:rsid w:val="005F35DD"/>
    <w:rsid w:val="00622D98"/>
    <w:rsid w:val="00636604"/>
    <w:rsid w:val="00662332"/>
    <w:rsid w:val="0066493B"/>
    <w:rsid w:val="006770CB"/>
    <w:rsid w:val="0068449B"/>
    <w:rsid w:val="006953A8"/>
    <w:rsid w:val="006960D5"/>
    <w:rsid w:val="006D7BA9"/>
    <w:rsid w:val="006E5F3C"/>
    <w:rsid w:val="00703E7E"/>
    <w:rsid w:val="00742F74"/>
    <w:rsid w:val="007A55A0"/>
    <w:rsid w:val="007E5980"/>
    <w:rsid w:val="00842F0A"/>
    <w:rsid w:val="0087254D"/>
    <w:rsid w:val="008812FC"/>
    <w:rsid w:val="00886E9F"/>
    <w:rsid w:val="009048EA"/>
    <w:rsid w:val="00992611"/>
    <w:rsid w:val="009C4C31"/>
    <w:rsid w:val="009D3B04"/>
    <w:rsid w:val="009D699F"/>
    <w:rsid w:val="009E37E5"/>
    <w:rsid w:val="00A0525D"/>
    <w:rsid w:val="00A644E8"/>
    <w:rsid w:val="00A9604F"/>
    <w:rsid w:val="00B050CA"/>
    <w:rsid w:val="00B140D8"/>
    <w:rsid w:val="00B51734"/>
    <w:rsid w:val="00B63C5E"/>
    <w:rsid w:val="00B66BB2"/>
    <w:rsid w:val="00B92DA7"/>
    <w:rsid w:val="00BB284F"/>
    <w:rsid w:val="00C567A4"/>
    <w:rsid w:val="00CA72B9"/>
    <w:rsid w:val="00D31087"/>
    <w:rsid w:val="00D40975"/>
    <w:rsid w:val="00D530E4"/>
    <w:rsid w:val="00D614CE"/>
    <w:rsid w:val="00D64A07"/>
    <w:rsid w:val="00D65C9A"/>
    <w:rsid w:val="00DC3B02"/>
    <w:rsid w:val="00E159F6"/>
    <w:rsid w:val="00E91252"/>
    <w:rsid w:val="00EA7FE7"/>
    <w:rsid w:val="00EF1531"/>
    <w:rsid w:val="00EF1BF5"/>
    <w:rsid w:val="00F11005"/>
    <w:rsid w:val="00F322EC"/>
    <w:rsid w:val="00F4721A"/>
    <w:rsid w:val="00F77A2B"/>
    <w:rsid w:val="00F83F0F"/>
    <w:rsid w:val="00FD0885"/>
    <w:rsid w:val="00FF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49F"/>
    <w:rPr>
      <w:sz w:val="22"/>
      <w:szCs w:val="22"/>
      <w:lang w:eastAsia="en-US"/>
    </w:rPr>
  </w:style>
  <w:style w:type="paragraph" w:styleId="BodyText">
    <w:name w:val="Body Text"/>
    <w:basedOn w:val="Normal"/>
    <w:link w:val="BodyTextChar"/>
    <w:uiPriority w:val="99"/>
    <w:semiHidden/>
    <w:unhideWhenUsed/>
    <w:rsid w:val="00346C89"/>
    <w:pPr>
      <w:spacing w:after="120" w:line="240" w:lineRule="auto"/>
    </w:pPr>
    <w:rPr>
      <w:rFonts w:ascii="Calibri" w:hAnsi="Calibri"/>
      <w:lang w:eastAsia="en-US"/>
    </w:rPr>
  </w:style>
  <w:style w:type="character" w:customStyle="1" w:styleId="BodyTextChar">
    <w:name w:val="Body Text Char"/>
    <w:basedOn w:val="DefaultParagraphFont"/>
    <w:link w:val="BodyText"/>
    <w:uiPriority w:val="99"/>
    <w:semiHidden/>
    <w:rsid w:val="00346C89"/>
    <w:rPr>
      <w:rFonts w:ascii="Calibri" w:hAnsi="Calibri"/>
      <w:sz w:val="22"/>
      <w:szCs w:val="22"/>
      <w:lang w:eastAsia="en-US"/>
    </w:rPr>
  </w:style>
  <w:style w:type="paragraph" w:styleId="Header">
    <w:name w:val="header"/>
    <w:basedOn w:val="Normal"/>
    <w:link w:val="HeaderChar"/>
    <w:uiPriority w:val="99"/>
    <w:unhideWhenUsed/>
    <w:rsid w:val="00346C89"/>
    <w:pPr>
      <w:tabs>
        <w:tab w:val="center" w:pos="4513"/>
        <w:tab w:val="right" w:pos="9026"/>
      </w:tabs>
      <w:spacing w:after="0" w:line="240" w:lineRule="auto"/>
    </w:pPr>
    <w:rPr>
      <w:rFonts w:ascii="Calibri" w:hAnsi="Calibri"/>
      <w:lang w:eastAsia="en-US"/>
    </w:rPr>
  </w:style>
  <w:style w:type="character" w:customStyle="1" w:styleId="HeaderChar">
    <w:name w:val="Header Char"/>
    <w:basedOn w:val="DefaultParagraphFont"/>
    <w:link w:val="Header"/>
    <w:uiPriority w:val="99"/>
    <w:rsid w:val="00346C89"/>
    <w:rPr>
      <w:rFonts w:ascii="Calibri" w:hAnsi="Calibri"/>
      <w:sz w:val="22"/>
      <w:szCs w:val="22"/>
      <w:lang w:eastAsia="en-US"/>
    </w:rPr>
  </w:style>
  <w:style w:type="paragraph" w:styleId="Footer">
    <w:name w:val="footer"/>
    <w:basedOn w:val="Normal"/>
    <w:link w:val="FooterChar"/>
    <w:uiPriority w:val="99"/>
    <w:unhideWhenUsed/>
    <w:rsid w:val="00346C89"/>
    <w:pPr>
      <w:tabs>
        <w:tab w:val="center" w:pos="4513"/>
        <w:tab w:val="right" w:pos="9026"/>
      </w:tabs>
      <w:spacing w:after="0" w:line="240" w:lineRule="auto"/>
    </w:pPr>
    <w:rPr>
      <w:rFonts w:ascii="Calibri" w:hAnsi="Calibri"/>
      <w:lang w:eastAsia="en-US"/>
    </w:rPr>
  </w:style>
  <w:style w:type="character" w:customStyle="1" w:styleId="FooterChar">
    <w:name w:val="Footer Char"/>
    <w:basedOn w:val="DefaultParagraphFont"/>
    <w:link w:val="Footer"/>
    <w:uiPriority w:val="99"/>
    <w:rsid w:val="00346C89"/>
    <w:rPr>
      <w:rFonts w:ascii="Calibri" w:hAnsi="Calibri"/>
      <w:sz w:val="22"/>
      <w:szCs w:val="22"/>
      <w:lang w:eastAsia="en-US"/>
    </w:rPr>
  </w:style>
  <w:style w:type="paragraph" w:styleId="ListParagraph">
    <w:name w:val="List Paragraph"/>
    <w:basedOn w:val="Normal"/>
    <w:uiPriority w:val="34"/>
    <w:qFormat/>
    <w:rsid w:val="00435068"/>
    <w:pPr>
      <w:ind w:left="720"/>
    </w:pPr>
  </w:style>
  <w:style w:type="paragraph" w:styleId="BalloonText">
    <w:name w:val="Balloon Text"/>
    <w:basedOn w:val="Normal"/>
    <w:link w:val="BalloonTextChar"/>
    <w:uiPriority w:val="99"/>
    <w:semiHidden/>
    <w:unhideWhenUsed/>
    <w:rsid w:val="00311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069"/>
    <w:rPr>
      <w:rFonts w:ascii="Tahoma" w:hAnsi="Tahoma" w:cs="Tahoma"/>
      <w:sz w:val="16"/>
      <w:szCs w:val="16"/>
    </w:rPr>
  </w:style>
  <w:style w:type="table" w:styleId="TableGrid">
    <w:name w:val="Table Grid"/>
    <w:basedOn w:val="TableNormal"/>
    <w:uiPriority w:val="59"/>
    <w:rsid w:val="0016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49F"/>
    <w:rPr>
      <w:sz w:val="22"/>
      <w:szCs w:val="22"/>
      <w:lang w:eastAsia="en-US"/>
    </w:rPr>
  </w:style>
  <w:style w:type="paragraph" w:styleId="BodyText">
    <w:name w:val="Body Text"/>
    <w:basedOn w:val="Normal"/>
    <w:link w:val="BodyTextChar"/>
    <w:uiPriority w:val="99"/>
    <w:semiHidden/>
    <w:unhideWhenUsed/>
    <w:rsid w:val="00346C89"/>
    <w:pPr>
      <w:spacing w:after="120" w:line="240" w:lineRule="auto"/>
    </w:pPr>
    <w:rPr>
      <w:rFonts w:ascii="Calibri" w:hAnsi="Calibri"/>
      <w:lang w:eastAsia="en-US"/>
    </w:rPr>
  </w:style>
  <w:style w:type="character" w:customStyle="1" w:styleId="BodyTextChar">
    <w:name w:val="Body Text Char"/>
    <w:basedOn w:val="DefaultParagraphFont"/>
    <w:link w:val="BodyText"/>
    <w:uiPriority w:val="99"/>
    <w:semiHidden/>
    <w:rsid w:val="00346C89"/>
    <w:rPr>
      <w:rFonts w:ascii="Calibri" w:hAnsi="Calibri"/>
      <w:sz w:val="22"/>
      <w:szCs w:val="22"/>
      <w:lang w:eastAsia="en-US"/>
    </w:rPr>
  </w:style>
  <w:style w:type="paragraph" w:styleId="Header">
    <w:name w:val="header"/>
    <w:basedOn w:val="Normal"/>
    <w:link w:val="HeaderChar"/>
    <w:uiPriority w:val="99"/>
    <w:unhideWhenUsed/>
    <w:rsid w:val="00346C89"/>
    <w:pPr>
      <w:tabs>
        <w:tab w:val="center" w:pos="4513"/>
        <w:tab w:val="right" w:pos="9026"/>
      </w:tabs>
      <w:spacing w:after="0" w:line="240" w:lineRule="auto"/>
    </w:pPr>
    <w:rPr>
      <w:rFonts w:ascii="Calibri" w:hAnsi="Calibri"/>
      <w:lang w:eastAsia="en-US"/>
    </w:rPr>
  </w:style>
  <w:style w:type="character" w:customStyle="1" w:styleId="HeaderChar">
    <w:name w:val="Header Char"/>
    <w:basedOn w:val="DefaultParagraphFont"/>
    <w:link w:val="Header"/>
    <w:uiPriority w:val="99"/>
    <w:rsid w:val="00346C89"/>
    <w:rPr>
      <w:rFonts w:ascii="Calibri" w:hAnsi="Calibri"/>
      <w:sz w:val="22"/>
      <w:szCs w:val="22"/>
      <w:lang w:eastAsia="en-US"/>
    </w:rPr>
  </w:style>
  <w:style w:type="paragraph" w:styleId="Footer">
    <w:name w:val="footer"/>
    <w:basedOn w:val="Normal"/>
    <w:link w:val="FooterChar"/>
    <w:uiPriority w:val="99"/>
    <w:unhideWhenUsed/>
    <w:rsid w:val="00346C89"/>
    <w:pPr>
      <w:tabs>
        <w:tab w:val="center" w:pos="4513"/>
        <w:tab w:val="right" w:pos="9026"/>
      </w:tabs>
      <w:spacing w:after="0" w:line="240" w:lineRule="auto"/>
    </w:pPr>
    <w:rPr>
      <w:rFonts w:ascii="Calibri" w:hAnsi="Calibri"/>
      <w:lang w:eastAsia="en-US"/>
    </w:rPr>
  </w:style>
  <w:style w:type="character" w:customStyle="1" w:styleId="FooterChar">
    <w:name w:val="Footer Char"/>
    <w:basedOn w:val="DefaultParagraphFont"/>
    <w:link w:val="Footer"/>
    <w:uiPriority w:val="99"/>
    <w:rsid w:val="00346C89"/>
    <w:rPr>
      <w:rFonts w:ascii="Calibri" w:hAnsi="Calibri"/>
      <w:sz w:val="22"/>
      <w:szCs w:val="22"/>
      <w:lang w:eastAsia="en-US"/>
    </w:rPr>
  </w:style>
  <w:style w:type="paragraph" w:styleId="ListParagraph">
    <w:name w:val="List Paragraph"/>
    <w:basedOn w:val="Normal"/>
    <w:uiPriority w:val="34"/>
    <w:qFormat/>
    <w:rsid w:val="00435068"/>
    <w:pPr>
      <w:ind w:left="720"/>
    </w:pPr>
  </w:style>
  <w:style w:type="paragraph" w:styleId="BalloonText">
    <w:name w:val="Balloon Text"/>
    <w:basedOn w:val="Normal"/>
    <w:link w:val="BalloonTextChar"/>
    <w:uiPriority w:val="99"/>
    <w:semiHidden/>
    <w:unhideWhenUsed/>
    <w:rsid w:val="00311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069"/>
    <w:rPr>
      <w:rFonts w:ascii="Tahoma" w:hAnsi="Tahoma" w:cs="Tahoma"/>
      <w:sz w:val="16"/>
      <w:szCs w:val="16"/>
    </w:rPr>
  </w:style>
  <w:style w:type="table" w:styleId="TableGrid">
    <w:name w:val="Table Grid"/>
    <w:basedOn w:val="TableNormal"/>
    <w:uiPriority w:val="59"/>
    <w:rsid w:val="0016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advocatesgateway.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14</Pages>
  <Words>4113</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27508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cmccorkindale</dc:creator>
  <cp:lastModifiedBy>cmccorkindale</cp:lastModifiedBy>
  <cp:revision>26</cp:revision>
  <cp:lastPrinted>2018-09-27T06:11:00Z</cp:lastPrinted>
  <dcterms:created xsi:type="dcterms:W3CDTF">2018-08-10T14:18:00Z</dcterms:created>
  <dcterms:modified xsi:type="dcterms:W3CDTF">2018-09-27T06:31:00Z</dcterms:modified>
</cp:coreProperties>
</file>