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EA" w:rsidRDefault="00CA17EA"/>
    <w:p w:rsidR="00DE3771" w:rsidRDefault="00DE3771"/>
    <w:p w:rsidR="00DE3771" w:rsidRDefault="00DE3771" w:rsidP="004E45B8">
      <w:pPr>
        <w:jc w:val="right"/>
      </w:pPr>
    </w:p>
    <w:p w:rsidR="00DE3771" w:rsidRDefault="00DC47A2" w:rsidP="00DC47A2">
      <w:pPr>
        <w:jc w:val="right"/>
      </w:pPr>
      <w:r>
        <w:rPr>
          <w:noProof/>
          <w:lang w:eastAsia="en-GB"/>
        </w:rPr>
        <w:drawing>
          <wp:inline distT="0" distB="0" distL="0" distR="0" wp14:anchorId="3A1FE633" wp14:editId="48D58AB4">
            <wp:extent cx="2657475" cy="785213"/>
            <wp:effectExtent l="0" t="0" r="0" b="0"/>
            <wp:docPr id="2" name="Picture 2" descr="http://myscs/library/Support/Templates/Crests/SCTS/Scottish_Courts_Tribunals_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cs/library/Support/Templates/Crests/SCTS/Scottish_Courts_Tribunals_Serv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98" cy="784865"/>
                    </a:xfrm>
                    <a:prstGeom prst="rect">
                      <a:avLst/>
                    </a:prstGeom>
                    <a:noFill/>
                    <a:ln>
                      <a:noFill/>
                    </a:ln>
                  </pic:spPr>
                </pic:pic>
              </a:graphicData>
            </a:graphic>
          </wp:inline>
        </w:drawing>
      </w:r>
    </w:p>
    <w:p w:rsidR="00DE3771" w:rsidRDefault="00DE3771"/>
    <w:p w:rsidR="00DE3771" w:rsidRDefault="00DE3771">
      <w:bookmarkStart w:id="0" w:name="_GoBack"/>
      <w:bookmarkEnd w:id="0"/>
    </w:p>
    <w:p w:rsidR="00DE3771" w:rsidRDefault="00DE3771"/>
    <w:p w:rsidR="00DE3771" w:rsidRDefault="00DE3771"/>
    <w:p w:rsidR="00DE3771" w:rsidRPr="004206C6" w:rsidRDefault="00DE3771" w:rsidP="00DE3771">
      <w:pPr>
        <w:spacing w:after="240"/>
        <w:jc w:val="center"/>
        <w:outlineLvl w:val="3"/>
        <w:rPr>
          <w:rFonts w:eastAsia="Times New Roman"/>
          <w:b/>
          <w:sz w:val="32"/>
          <w:szCs w:val="32"/>
          <w:lang w:val="en-US"/>
        </w:rPr>
      </w:pPr>
    </w:p>
    <w:p w:rsidR="004206C6" w:rsidRPr="004206C6" w:rsidRDefault="004206C6" w:rsidP="00DE3771">
      <w:pPr>
        <w:jc w:val="center"/>
        <w:rPr>
          <w:rFonts w:ascii="Arial" w:eastAsia="Times New Roman" w:hAnsi="Arial" w:cs="Arial"/>
          <w:b/>
          <w:sz w:val="32"/>
          <w:szCs w:val="32"/>
          <w:lang w:val="en-US"/>
        </w:rPr>
      </w:pPr>
    </w:p>
    <w:p w:rsidR="00627654" w:rsidRDefault="004E45B8" w:rsidP="00DE3771">
      <w:pPr>
        <w:spacing w:after="240"/>
        <w:jc w:val="center"/>
        <w:outlineLvl w:val="3"/>
        <w:rPr>
          <w:rFonts w:ascii="Arial" w:eastAsia="Times New Roman" w:hAnsi="Arial" w:cs="Arial"/>
          <w:b/>
          <w:sz w:val="32"/>
          <w:szCs w:val="20"/>
          <w:lang w:val="en-US"/>
        </w:rPr>
      </w:pPr>
      <w:r>
        <w:rPr>
          <w:rFonts w:ascii="Arial" w:eastAsia="Times New Roman" w:hAnsi="Arial" w:cs="Arial"/>
          <w:b/>
          <w:sz w:val="32"/>
          <w:szCs w:val="20"/>
          <w:lang w:val="en-US"/>
        </w:rPr>
        <w:t xml:space="preserve">RESPONSE TO CONSULTATION </w:t>
      </w:r>
      <w:r w:rsidR="004206C6">
        <w:rPr>
          <w:rFonts w:ascii="Arial" w:eastAsia="Times New Roman" w:hAnsi="Arial" w:cs="Arial"/>
          <w:b/>
          <w:sz w:val="32"/>
          <w:szCs w:val="20"/>
          <w:lang w:val="en-US"/>
        </w:rPr>
        <w:t>REPORT</w:t>
      </w:r>
      <w:r w:rsidR="00627654">
        <w:rPr>
          <w:rFonts w:ascii="Arial" w:eastAsia="Times New Roman" w:hAnsi="Arial" w:cs="Arial"/>
          <w:b/>
          <w:sz w:val="32"/>
          <w:szCs w:val="20"/>
          <w:lang w:val="en-US"/>
        </w:rPr>
        <w:t xml:space="preserve">: </w:t>
      </w:r>
    </w:p>
    <w:p w:rsidR="00DE3771" w:rsidRPr="004E77DB" w:rsidRDefault="00AF051E" w:rsidP="00DE3771">
      <w:pPr>
        <w:jc w:val="center"/>
        <w:rPr>
          <w:rFonts w:ascii="Arial" w:hAnsi="Arial" w:cs="Arial"/>
        </w:rPr>
      </w:pPr>
      <w:r>
        <w:rPr>
          <w:rFonts w:ascii="Arial" w:eastAsia="Times New Roman" w:hAnsi="Arial" w:cs="Arial"/>
          <w:b/>
          <w:sz w:val="32"/>
          <w:szCs w:val="20"/>
          <w:lang w:val="en-US"/>
        </w:rPr>
        <w:t xml:space="preserve">Relocation of </w:t>
      </w:r>
      <w:r w:rsidR="003F6054">
        <w:rPr>
          <w:rFonts w:ascii="Arial" w:eastAsia="Times New Roman" w:hAnsi="Arial" w:cs="Arial"/>
          <w:b/>
          <w:sz w:val="32"/>
          <w:szCs w:val="20"/>
          <w:lang w:val="en-US"/>
        </w:rPr>
        <w:t xml:space="preserve">the JP Court currently sitting at </w:t>
      </w:r>
      <w:r>
        <w:rPr>
          <w:rFonts w:ascii="Arial" w:eastAsia="Times New Roman" w:hAnsi="Arial" w:cs="Arial"/>
          <w:b/>
          <w:sz w:val="32"/>
          <w:szCs w:val="20"/>
          <w:lang w:val="en-US"/>
        </w:rPr>
        <w:t xml:space="preserve">Coatbridge </w:t>
      </w:r>
    </w:p>
    <w:p w:rsidR="00DE3771" w:rsidRPr="004E77DB" w:rsidRDefault="00DE3771">
      <w:pPr>
        <w:rPr>
          <w:rFonts w:ascii="Arial" w:hAnsi="Arial" w:cs="Arial"/>
        </w:rPr>
      </w:pPr>
    </w:p>
    <w:p w:rsidR="00DE3771" w:rsidRPr="004E77DB" w:rsidRDefault="00DE3771">
      <w:pPr>
        <w:rPr>
          <w:rFonts w:ascii="Arial" w:hAnsi="Arial" w:cs="Arial"/>
        </w:rPr>
      </w:pPr>
    </w:p>
    <w:p w:rsidR="00DE3771" w:rsidRDefault="00DE3771">
      <w:pPr>
        <w:rPr>
          <w:rFonts w:ascii="Arial" w:hAnsi="Arial" w:cs="Arial"/>
        </w:rPr>
      </w:pPr>
    </w:p>
    <w:p w:rsidR="00DC6AB1" w:rsidRDefault="00DC6AB1">
      <w:pPr>
        <w:rPr>
          <w:rFonts w:ascii="Arial" w:hAnsi="Arial" w:cs="Arial"/>
        </w:rPr>
      </w:pPr>
    </w:p>
    <w:p w:rsidR="00DC6AB1" w:rsidRDefault="00DC6AB1">
      <w:pPr>
        <w:rPr>
          <w:rFonts w:ascii="Arial" w:hAnsi="Arial" w:cs="Arial"/>
        </w:rPr>
      </w:pPr>
    </w:p>
    <w:p w:rsidR="00DC6AB1" w:rsidRPr="00DC6AB1" w:rsidRDefault="00DC6AB1" w:rsidP="00DC6AB1">
      <w:pPr>
        <w:jc w:val="center"/>
        <w:rPr>
          <w:rFonts w:ascii="Arial" w:hAnsi="Arial" w:cs="Arial"/>
          <w:b/>
        </w:rPr>
      </w:pPr>
      <w:r w:rsidRPr="00DC6AB1">
        <w:rPr>
          <w:rFonts w:ascii="Arial" w:hAnsi="Arial" w:cs="Arial"/>
          <w:b/>
        </w:rPr>
        <w:t>August 2018</w:t>
      </w: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DE3771" w:rsidRPr="004E77DB" w:rsidRDefault="00DE3771">
      <w:pPr>
        <w:rPr>
          <w:rFonts w:ascii="Arial" w:hAnsi="Arial" w:cs="Arial"/>
        </w:rPr>
      </w:pPr>
    </w:p>
    <w:p w:rsidR="000E5B43" w:rsidRDefault="000E5B43" w:rsidP="00B723BB">
      <w:pPr>
        <w:pStyle w:val="Heading4"/>
        <w:contextualSpacing/>
        <w:rPr>
          <w:rFonts w:cs="Arial"/>
          <w:b w:val="0"/>
          <w:sz w:val="20"/>
        </w:rPr>
      </w:pPr>
    </w:p>
    <w:p w:rsidR="004206C6" w:rsidRPr="004206C6" w:rsidRDefault="004206C6" w:rsidP="004206C6">
      <w:pPr>
        <w:rPr>
          <w:lang w:val="en-US"/>
        </w:rPr>
      </w:pPr>
    </w:p>
    <w:p w:rsidR="00261179" w:rsidRDefault="00261179" w:rsidP="00261179">
      <w:pPr>
        <w:pStyle w:val="NoSpacing"/>
        <w:rPr>
          <w:rFonts w:cs="Arial"/>
        </w:rPr>
      </w:pPr>
    </w:p>
    <w:p w:rsidR="00261179" w:rsidRDefault="00261179" w:rsidP="00261179">
      <w:pPr>
        <w:pStyle w:val="NoSpacing"/>
        <w:rPr>
          <w:rFonts w:cs="Arial"/>
        </w:rPr>
      </w:pPr>
    </w:p>
    <w:p w:rsidR="00261179" w:rsidRDefault="00261179" w:rsidP="00261179">
      <w:pPr>
        <w:pStyle w:val="NoSpacing"/>
        <w:rPr>
          <w:rFonts w:cs="Arial"/>
        </w:rPr>
      </w:pPr>
    </w:p>
    <w:p w:rsidR="00261179" w:rsidRDefault="00261179" w:rsidP="00261179">
      <w:pPr>
        <w:pStyle w:val="NoSpacing"/>
        <w:rPr>
          <w:rFonts w:cs="Arial"/>
        </w:rPr>
      </w:pPr>
    </w:p>
    <w:p w:rsidR="009A1D1E" w:rsidRDefault="004E45B8" w:rsidP="002D27C2">
      <w:pPr>
        <w:pStyle w:val="NoSpacing"/>
        <w:numPr>
          <w:ilvl w:val="0"/>
          <w:numId w:val="3"/>
        </w:numPr>
        <w:ind w:left="426" w:hanging="426"/>
        <w:rPr>
          <w:b/>
        </w:rPr>
      </w:pPr>
      <w:r w:rsidRPr="009A1D1E">
        <w:rPr>
          <w:rFonts w:cs="Arial"/>
        </w:rPr>
        <w:br w:type="page"/>
      </w:r>
      <w:r w:rsidR="006223AF" w:rsidRPr="00B57926">
        <w:rPr>
          <w:b/>
        </w:rPr>
        <w:lastRenderedPageBreak/>
        <w:t>Introduction</w:t>
      </w:r>
    </w:p>
    <w:p w:rsidR="00EF3DDC" w:rsidRPr="007B559D" w:rsidRDefault="00EF3DDC" w:rsidP="00EF3DDC">
      <w:pPr>
        <w:pStyle w:val="NoSpacing"/>
        <w:ind w:left="426"/>
        <w:rPr>
          <w:b/>
        </w:rPr>
      </w:pPr>
    </w:p>
    <w:p w:rsidR="006223AF" w:rsidRDefault="003F6054" w:rsidP="006223AF">
      <w:pPr>
        <w:pStyle w:val="NoSpacing"/>
        <w:numPr>
          <w:ilvl w:val="1"/>
          <w:numId w:val="1"/>
        </w:numPr>
      </w:pPr>
      <w:r>
        <w:t>During July 2018 the</w:t>
      </w:r>
      <w:r w:rsidR="006223AF">
        <w:t xml:space="preserve"> Scottish Courts and Tribunal Service (SCTS) </w:t>
      </w:r>
      <w:r>
        <w:t>ran</w:t>
      </w:r>
      <w:r w:rsidR="006223AF">
        <w:t xml:space="preserve"> a </w:t>
      </w:r>
      <w:r w:rsidR="00DA02E9">
        <w:t xml:space="preserve">three week </w:t>
      </w:r>
      <w:r>
        <w:t xml:space="preserve">public </w:t>
      </w:r>
      <w:r w:rsidR="006223AF">
        <w:t xml:space="preserve">consultation process outlining </w:t>
      </w:r>
      <w:r w:rsidR="00576C8A">
        <w:t>our</w:t>
      </w:r>
      <w:r w:rsidR="006223AF">
        <w:t xml:space="preserve"> proposal to relocate the Justice of the Peace</w:t>
      </w:r>
      <w:r w:rsidR="00DD6A8C">
        <w:t xml:space="preserve"> (JP) Court that</w:t>
      </w:r>
      <w:r w:rsidR="006223AF">
        <w:t xml:space="preserve"> </w:t>
      </w:r>
      <w:r w:rsidR="00DD6A8C">
        <w:t>currently sits</w:t>
      </w:r>
      <w:r>
        <w:t xml:space="preserve"> in Coatbridge</w:t>
      </w:r>
      <w:r w:rsidR="006223AF">
        <w:t xml:space="preserve"> to </w:t>
      </w:r>
      <w:r w:rsidR="00DD6A8C">
        <w:t xml:space="preserve">a new venue in </w:t>
      </w:r>
      <w:r w:rsidR="006223AF">
        <w:t>Airdrie.</w:t>
      </w:r>
      <w:r w:rsidR="00DA02E9">
        <w:t xml:space="preserve"> </w:t>
      </w:r>
    </w:p>
    <w:p w:rsidR="0090147C" w:rsidRDefault="0090147C" w:rsidP="0090147C">
      <w:pPr>
        <w:pStyle w:val="NoSpacing"/>
        <w:ind w:left="792"/>
      </w:pPr>
    </w:p>
    <w:p w:rsidR="0090147C" w:rsidRDefault="006223AF" w:rsidP="0090147C">
      <w:pPr>
        <w:pStyle w:val="NoSpacing"/>
        <w:numPr>
          <w:ilvl w:val="1"/>
          <w:numId w:val="1"/>
        </w:numPr>
      </w:pPr>
      <w:r>
        <w:t xml:space="preserve">The consultation was </w:t>
      </w:r>
      <w:r w:rsidR="00163316">
        <w:t>communicated publicly via a</w:t>
      </w:r>
      <w:r w:rsidR="00D90DD8">
        <w:t xml:space="preserve"> </w:t>
      </w:r>
      <w:hyperlink r:id="rId10" w:history="1">
        <w:r w:rsidR="00D90DD8" w:rsidRPr="00D90DD8">
          <w:rPr>
            <w:rStyle w:val="Hyperlink"/>
          </w:rPr>
          <w:t>press release</w:t>
        </w:r>
      </w:hyperlink>
      <w:r w:rsidR="00D90DD8">
        <w:t xml:space="preserve"> on our main website and </w:t>
      </w:r>
      <w:r w:rsidR="00DD6A8C">
        <w:t>also</w:t>
      </w:r>
      <w:r w:rsidR="00D90DD8">
        <w:t xml:space="preserve"> communicated directly </w:t>
      </w:r>
      <w:r>
        <w:t xml:space="preserve">to </w:t>
      </w:r>
      <w:r w:rsidR="00D90DD8">
        <w:t xml:space="preserve">the </w:t>
      </w:r>
      <w:r>
        <w:t xml:space="preserve">18 </w:t>
      </w:r>
      <w:r w:rsidR="00D90DD8">
        <w:t xml:space="preserve">consultees </w:t>
      </w:r>
      <w:r w:rsidR="0090147C">
        <w:t>list</w:t>
      </w:r>
      <w:r w:rsidR="00D90DD8">
        <w:t>ed</w:t>
      </w:r>
      <w:r w:rsidR="0090147C">
        <w:t xml:space="preserve"> </w:t>
      </w:r>
      <w:r>
        <w:t xml:space="preserve">at </w:t>
      </w:r>
      <w:hyperlink w:anchor="AppendixA" w:history="1">
        <w:r w:rsidRPr="008C6CD9">
          <w:rPr>
            <w:rStyle w:val="Hyperlink"/>
          </w:rPr>
          <w:t>Appendix A</w:t>
        </w:r>
      </w:hyperlink>
      <w:r w:rsidRPr="008C6CD9">
        <w:t>.</w:t>
      </w:r>
      <w:r w:rsidR="0090147C" w:rsidRPr="008C6CD9">
        <w:t xml:space="preserve"> </w:t>
      </w:r>
      <w:r w:rsidR="0090147C">
        <w:t>The closing date set for responses was 30 July 2018.</w:t>
      </w:r>
    </w:p>
    <w:p w:rsidR="006223AF" w:rsidRDefault="006223AF" w:rsidP="0090147C">
      <w:pPr>
        <w:pStyle w:val="NoSpacing"/>
        <w:ind w:left="792"/>
      </w:pPr>
    </w:p>
    <w:p w:rsidR="009A1D1E" w:rsidRDefault="009A1D1E" w:rsidP="00DA02E9">
      <w:pPr>
        <w:pStyle w:val="NoSpacing"/>
      </w:pPr>
    </w:p>
    <w:p w:rsidR="00F01388" w:rsidRDefault="00DA02E9" w:rsidP="002D27C2">
      <w:pPr>
        <w:pStyle w:val="NoSpacing"/>
        <w:numPr>
          <w:ilvl w:val="0"/>
          <w:numId w:val="1"/>
        </w:numPr>
        <w:rPr>
          <w:b/>
        </w:rPr>
      </w:pPr>
      <w:r>
        <w:rPr>
          <w:b/>
        </w:rPr>
        <w:t>Background</w:t>
      </w:r>
    </w:p>
    <w:p w:rsidR="00EF3DDC" w:rsidRDefault="00EF3DDC" w:rsidP="00EF3DDC">
      <w:pPr>
        <w:pStyle w:val="NoSpacing"/>
        <w:ind w:left="360"/>
        <w:rPr>
          <w:b/>
        </w:rPr>
      </w:pPr>
    </w:p>
    <w:p w:rsidR="008C6CD9" w:rsidRPr="008C6CD9" w:rsidRDefault="00087368" w:rsidP="002D27C2">
      <w:pPr>
        <w:pStyle w:val="NoSpacing"/>
        <w:numPr>
          <w:ilvl w:val="1"/>
          <w:numId w:val="1"/>
        </w:numPr>
        <w:rPr>
          <w:i/>
        </w:rPr>
      </w:pPr>
      <w:r>
        <w:t>In April 2013 t</w:t>
      </w:r>
      <w:r w:rsidR="0090147C">
        <w:t xml:space="preserve">he then Scottish Courts Service </w:t>
      </w:r>
      <w:r w:rsidR="00163316">
        <w:t xml:space="preserve">(SCS) </w:t>
      </w:r>
      <w:r w:rsidR="0090147C">
        <w:t xml:space="preserve">consulted widely on the appropriate structures for </w:t>
      </w:r>
      <w:r w:rsidR="00576C8A">
        <w:t xml:space="preserve">all </w:t>
      </w:r>
      <w:r w:rsidR="0090147C">
        <w:t xml:space="preserve">courts in Scotland and the resultant vision was </w:t>
      </w:r>
      <w:r>
        <w:t>published a</w:t>
      </w:r>
      <w:r w:rsidR="008C6CD9">
        <w:t xml:space="preserve">s: </w:t>
      </w:r>
    </w:p>
    <w:p w:rsidR="00F01388" w:rsidRPr="008C6CD9" w:rsidRDefault="0090147C" w:rsidP="008C6CD9">
      <w:pPr>
        <w:pStyle w:val="NoSpacing"/>
        <w:ind w:left="1440"/>
        <w:rPr>
          <w:i/>
          <w:sz w:val="20"/>
          <w:szCs w:val="20"/>
        </w:rPr>
      </w:pPr>
      <w:r w:rsidRPr="008C6CD9">
        <w:rPr>
          <w:i/>
        </w:rPr>
        <w:t>“</w:t>
      </w:r>
      <w:r w:rsidR="008C6CD9" w:rsidRPr="008C6CD9">
        <w:rPr>
          <w:i/>
          <w:sz w:val="20"/>
          <w:szCs w:val="20"/>
        </w:rPr>
        <w:t>Shaping Scotland’s Courts Services – The SCS R</w:t>
      </w:r>
      <w:r w:rsidR="00087368" w:rsidRPr="008C6CD9">
        <w:rPr>
          <w:i/>
          <w:sz w:val="20"/>
          <w:szCs w:val="20"/>
        </w:rPr>
        <w:t>esponse to the Consultation and Recommendations for a Future Court Structure in Scotland</w:t>
      </w:r>
      <w:r w:rsidR="008C6CD9" w:rsidRPr="008C6CD9">
        <w:rPr>
          <w:i/>
          <w:sz w:val="20"/>
          <w:szCs w:val="20"/>
        </w:rPr>
        <w:t xml:space="preserve"> </w:t>
      </w:r>
      <w:hyperlink r:id="rId11" w:history="1">
        <w:r w:rsidR="008C6CD9" w:rsidRPr="008C6CD9">
          <w:rPr>
            <w:rStyle w:val="Hyperlink"/>
            <w:i/>
            <w:sz w:val="20"/>
            <w:szCs w:val="20"/>
          </w:rPr>
          <w:t>(link)</w:t>
        </w:r>
      </w:hyperlink>
    </w:p>
    <w:p w:rsidR="00087368" w:rsidRDefault="00087368" w:rsidP="00087368">
      <w:pPr>
        <w:pStyle w:val="NoSpacing"/>
        <w:ind w:left="792"/>
      </w:pPr>
    </w:p>
    <w:p w:rsidR="00180660" w:rsidRDefault="00576C8A" w:rsidP="002D27C2">
      <w:pPr>
        <w:pStyle w:val="NoSpacing"/>
        <w:numPr>
          <w:ilvl w:val="1"/>
          <w:numId w:val="1"/>
        </w:numPr>
      </w:pPr>
      <w:r>
        <w:t>That</w:t>
      </w:r>
      <w:r w:rsidR="00087368">
        <w:t xml:space="preserve"> </w:t>
      </w:r>
      <w:r>
        <w:t>vision</w:t>
      </w:r>
      <w:r w:rsidR="00087368">
        <w:t xml:space="preserve"> </w:t>
      </w:r>
      <w:r>
        <w:t>flagged</w:t>
      </w:r>
      <w:r w:rsidR="00087368">
        <w:t xml:space="preserve"> </w:t>
      </w:r>
      <w:r w:rsidR="00D90DD8">
        <w:t>our</w:t>
      </w:r>
      <w:r>
        <w:t xml:space="preserve"> clear intention </w:t>
      </w:r>
      <w:r w:rsidR="0090147C">
        <w:t>to</w:t>
      </w:r>
      <w:r w:rsidR="00087368">
        <w:t xml:space="preserve"> relocate the Justice of the Peace Court sitting at Coatbridge </w:t>
      </w:r>
      <w:r w:rsidR="0090147C">
        <w:t>to</w:t>
      </w:r>
      <w:r w:rsidR="00C04D38">
        <w:t xml:space="preserve"> the </w:t>
      </w:r>
      <w:r w:rsidR="0090147C">
        <w:t xml:space="preserve">Airdrie Sheriff Courthouse </w:t>
      </w:r>
      <w:r w:rsidR="00163316">
        <w:t xml:space="preserve">at some future point </w:t>
      </w:r>
      <w:r w:rsidR="00C04D38">
        <w:t xml:space="preserve">if capacity </w:t>
      </w:r>
      <w:r w:rsidR="0090147C">
        <w:t>could be made</w:t>
      </w:r>
      <w:r w:rsidR="00C04D38">
        <w:t xml:space="preserve"> available.</w:t>
      </w:r>
      <w:r w:rsidR="00003B2C">
        <w:t xml:space="preserve"> </w:t>
      </w:r>
    </w:p>
    <w:p w:rsidR="00180660" w:rsidRDefault="00180660" w:rsidP="00180660">
      <w:pPr>
        <w:pStyle w:val="ListParagraph"/>
      </w:pPr>
    </w:p>
    <w:p w:rsidR="00F01388" w:rsidRDefault="00576C8A" w:rsidP="002D27C2">
      <w:pPr>
        <w:pStyle w:val="NoSpacing"/>
        <w:numPr>
          <w:ilvl w:val="1"/>
          <w:numId w:val="1"/>
        </w:numPr>
      </w:pPr>
      <w:r>
        <w:t>Since 2013 t</w:t>
      </w:r>
      <w:r w:rsidR="0090147C">
        <w:t>he</w:t>
      </w:r>
      <w:r w:rsidR="00C04D38">
        <w:t xml:space="preserve"> business levels </w:t>
      </w:r>
      <w:r w:rsidR="00615AE5">
        <w:t xml:space="preserve">within Airdrie Sheriff Court </w:t>
      </w:r>
      <w:r w:rsidR="00C04D38">
        <w:t xml:space="preserve">have remained </w:t>
      </w:r>
      <w:r>
        <w:t xml:space="preserve">high and that </w:t>
      </w:r>
      <w:r w:rsidR="00EF3DDC">
        <w:t xml:space="preserve">desired </w:t>
      </w:r>
      <w:r>
        <w:t xml:space="preserve">transfer into the </w:t>
      </w:r>
      <w:r w:rsidR="00DD6A8C">
        <w:t xml:space="preserve">main </w:t>
      </w:r>
      <w:r>
        <w:t>Sheriff Court building is not yet viable</w:t>
      </w:r>
      <w:r w:rsidR="00E35D9A">
        <w:t xml:space="preserve">. </w:t>
      </w:r>
      <w:r>
        <w:t>However a</w:t>
      </w:r>
      <w:r w:rsidR="00D01099">
        <w:t xml:space="preserve"> potential property solution has been identified directly adjacent</w:t>
      </w:r>
      <w:r w:rsidR="00EF3DDC">
        <w:t xml:space="preserve"> to Airdrie Sheriff Court. That property</w:t>
      </w:r>
      <w:r>
        <w:t xml:space="preserve"> </w:t>
      </w:r>
      <w:r w:rsidR="00D01099">
        <w:t>will enab</w:t>
      </w:r>
      <w:r>
        <w:t>le</w:t>
      </w:r>
      <w:r w:rsidR="004D4037">
        <w:t xml:space="preserve"> </w:t>
      </w:r>
      <w:r>
        <w:t xml:space="preserve">the </w:t>
      </w:r>
      <w:r w:rsidR="004D4037">
        <w:t xml:space="preserve">SCTS to invest in a new </w:t>
      </w:r>
      <w:r>
        <w:t>court venue</w:t>
      </w:r>
      <w:r w:rsidR="004D4037">
        <w:t xml:space="preserve"> t</w:t>
      </w:r>
      <w:r>
        <w:t>hat will be fit for purpose providing</w:t>
      </w:r>
      <w:r w:rsidR="00D90DD8">
        <w:t xml:space="preserve"> a safe</w:t>
      </w:r>
      <w:r w:rsidR="004D4037">
        <w:t xml:space="preserve">, secure and accessible environment and minimise </w:t>
      </w:r>
      <w:r w:rsidR="00EF3DDC">
        <w:t xml:space="preserve">the </w:t>
      </w:r>
      <w:r w:rsidR="004D4037">
        <w:t>operational inefficiencies</w:t>
      </w:r>
      <w:r w:rsidR="00EF3DDC">
        <w:t xml:space="preserve"> that arise with </w:t>
      </w:r>
      <w:r w:rsidR="00D90DD8">
        <w:t xml:space="preserve">using </w:t>
      </w:r>
      <w:r w:rsidR="00EF3DDC">
        <w:t>the current split sites</w:t>
      </w:r>
      <w:r w:rsidR="004D4037">
        <w:t xml:space="preserve">. </w:t>
      </w:r>
    </w:p>
    <w:p w:rsidR="00F01388" w:rsidRPr="00F01388" w:rsidRDefault="00F01388" w:rsidP="00F01388">
      <w:pPr>
        <w:pStyle w:val="NoSpacing"/>
        <w:ind w:left="360"/>
      </w:pPr>
    </w:p>
    <w:p w:rsidR="00F01388" w:rsidRDefault="00697720" w:rsidP="002D27C2">
      <w:pPr>
        <w:pStyle w:val="NoSpacing"/>
        <w:numPr>
          <w:ilvl w:val="0"/>
          <w:numId w:val="1"/>
        </w:numPr>
        <w:rPr>
          <w:b/>
        </w:rPr>
      </w:pPr>
      <w:r>
        <w:rPr>
          <w:b/>
        </w:rPr>
        <w:t xml:space="preserve">Responses </w:t>
      </w:r>
      <w:r w:rsidR="00274E2D">
        <w:rPr>
          <w:b/>
        </w:rPr>
        <w:t xml:space="preserve">to Consultation </w:t>
      </w:r>
    </w:p>
    <w:p w:rsidR="00EF3DDC" w:rsidRPr="00CD2DE2" w:rsidRDefault="00EF3DDC" w:rsidP="00EF3DDC">
      <w:pPr>
        <w:pStyle w:val="NoSpacing"/>
        <w:ind w:left="360"/>
        <w:rPr>
          <w:b/>
        </w:rPr>
      </w:pPr>
    </w:p>
    <w:p w:rsidR="00F7169F" w:rsidRDefault="00F7169F" w:rsidP="002D27C2">
      <w:pPr>
        <w:pStyle w:val="NoSpacing"/>
        <w:numPr>
          <w:ilvl w:val="1"/>
          <w:numId w:val="1"/>
        </w:numPr>
      </w:pPr>
      <w:r>
        <w:t>Six r</w:t>
      </w:r>
      <w:r w:rsidR="00341B9D">
        <w:t>esponses were received from</w:t>
      </w:r>
      <w:r>
        <w:t>:</w:t>
      </w:r>
    </w:p>
    <w:p w:rsidR="00F7169F" w:rsidRDefault="00F7169F" w:rsidP="00F7169F">
      <w:pPr>
        <w:pStyle w:val="NoSpacing"/>
        <w:numPr>
          <w:ilvl w:val="0"/>
          <w:numId w:val="20"/>
        </w:numPr>
      </w:pPr>
      <w:r>
        <w:t>Police Scotland,</w:t>
      </w:r>
    </w:p>
    <w:p w:rsidR="00F7169F" w:rsidRDefault="00341B9D" w:rsidP="00F7169F">
      <w:pPr>
        <w:pStyle w:val="NoSpacing"/>
        <w:numPr>
          <w:ilvl w:val="0"/>
          <w:numId w:val="20"/>
        </w:numPr>
      </w:pPr>
      <w:r>
        <w:t xml:space="preserve">Crown Office and Procurator Fiscal Service, </w:t>
      </w:r>
    </w:p>
    <w:p w:rsidR="00F7169F" w:rsidRDefault="00BA5565" w:rsidP="00F7169F">
      <w:pPr>
        <w:pStyle w:val="NoSpacing"/>
        <w:numPr>
          <w:ilvl w:val="0"/>
          <w:numId w:val="20"/>
        </w:numPr>
      </w:pPr>
      <w:r>
        <w:t xml:space="preserve">Victim Support Scotland, </w:t>
      </w:r>
    </w:p>
    <w:p w:rsidR="00F7169F" w:rsidRDefault="00BA5565" w:rsidP="00F7169F">
      <w:pPr>
        <w:pStyle w:val="NoSpacing"/>
        <w:numPr>
          <w:ilvl w:val="0"/>
          <w:numId w:val="20"/>
        </w:numPr>
      </w:pPr>
      <w:r>
        <w:t>S</w:t>
      </w:r>
      <w:r w:rsidR="00F7169F">
        <w:t>cottish Justices Association</w:t>
      </w:r>
      <w:r>
        <w:t xml:space="preserve"> </w:t>
      </w:r>
    </w:p>
    <w:p w:rsidR="00F7169F" w:rsidRDefault="00F7169F" w:rsidP="00F7169F">
      <w:pPr>
        <w:pStyle w:val="NoSpacing"/>
        <w:numPr>
          <w:ilvl w:val="0"/>
          <w:numId w:val="20"/>
        </w:numPr>
      </w:pPr>
      <w:r>
        <w:t>Two Justice of the Peace</w:t>
      </w:r>
    </w:p>
    <w:p w:rsidR="009A1D1E" w:rsidRDefault="00B4444F" w:rsidP="00F7169F">
      <w:pPr>
        <w:pStyle w:val="NoSpacing"/>
        <w:ind w:left="792"/>
      </w:pPr>
      <w:r>
        <w:t xml:space="preserve">Full response details are provided at </w:t>
      </w:r>
      <w:hyperlink w:anchor="AppendixB" w:history="1">
        <w:r w:rsidRPr="008C6CD9">
          <w:rPr>
            <w:rStyle w:val="Hyperlink"/>
          </w:rPr>
          <w:t>Appendix B</w:t>
        </w:r>
      </w:hyperlink>
      <w:r w:rsidRPr="008C6CD9">
        <w:t>.</w:t>
      </w:r>
      <w:r w:rsidR="00BA5565">
        <w:t xml:space="preserve"> </w:t>
      </w:r>
    </w:p>
    <w:p w:rsidR="005312E4" w:rsidRDefault="005312E4" w:rsidP="005312E4">
      <w:pPr>
        <w:pStyle w:val="NoSpacing"/>
        <w:ind w:left="792"/>
      </w:pPr>
    </w:p>
    <w:p w:rsidR="00BA5565" w:rsidRDefault="00BA5565" w:rsidP="002D27C2">
      <w:pPr>
        <w:pStyle w:val="NoSpacing"/>
        <w:numPr>
          <w:ilvl w:val="1"/>
          <w:numId w:val="1"/>
        </w:numPr>
      </w:pPr>
      <w:r>
        <w:t>All response</w:t>
      </w:r>
      <w:r w:rsidR="00D90DD8">
        <w:t>s</w:t>
      </w:r>
      <w:r>
        <w:t xml:space="preserve"> were supportive </w:t>
      </w:r>
      <w:r w:rsidR="00274E2D">
        <w:t>and acknowledged</w:t>
      </w:r>
      <w:r w:rsidR="00F60638">
        <w:t xml:space="preserve"> the proposed relocation is “</w:t>
      </w:r>
      <w:r w:rsidR="00F60638" w:rsidRPr="00F60638">
        <w:rPr>
          <w:i/>
        </w:rPr>
        <w:t>positively welcomed and should lead to an improvement in the services provided</w:t>
      </w:r>
      <w:r w:rsidR="00F60638">
        <w:t>”, will have</w:t>
      </w:r>
      <w:r w:rsidR="00F60638" w:rsidRPr="00F60638">
        <w:t xml:space="preserve"> </w:t>
      </w:r>
      <w:r w:rsidR="00F60638">
        <w:t>“</w:t>
      </w:r>
      <w:r w:rsidR="00F60638" w:rsidRPr="00F60638">
        <w:rPr>
          <w:i/>
        </w:rPr>
        <w:t>positive effect on the administration of justice</w:t>
      </w:r>
      <w:r w:rsidR="00F60638">
        <w:t>” and will result in “</w:t>
      </w:r>
      <w:r w:rsidR="00F60638" w:rsidRPr="00F60638">
        <w:rPr>
          <w:i/>
        </w:rPr>
        <w:t>improved Court facilities for JPs, Court officials and the general public</w:t>
      </w:r>
      <w:r w:rsidR="00F60638">
        <w:t xml:space="preserve">”. </w:t>
      </w:r>
    </w:p>
    <w:p w:rsidR="00F60638" w:rsidRDefault="00F60638" w:rsidP="00F60638">
      <w:pPr>
        <w:pStyle w:val="ListParagraph"/>
      </w:pPr>
    </w:p>
    <w:p w:rsidR="005E5CC2" w:rsidRDefault="00181780" w:rsidP="002D27C2">
      <w:pPr>
        <w:pStyle w:val="NoSpacing"/>
        <w:numPr>
          <w:ilvl w:val="1"/>
          <w:numId w:val="1"/>
        </w:numPr>
        <w:rPr>
          <w:i/>
        </w:rPr>
      </w:pPr>
      <w:r w:rsidRPr="008C5BD6">
        <w:t>Responde</w:t>
      </w:r>
      <w:r>
        <w:t>nts</w:t>
      </w:r>
      <w:r w:rsidR="00041F1A">
        <w:t xml:space="preserve"> </w:t>
      </w:r>
      <w:r>
        <w:t xml:space="preserve">highlighted </w:t>
      </w:r>
      <w:r w:rsidR="005E5CC2">
        <w:t>pote</w:t>
      </w:r>
      <w:r w:rsidR="00A956C8">
        <w:t>ntial benefits of relocating as this will</w:t>
      </w:r>
      <w:r w:rsidR="005E5CC2">
        <w:t xml:space="preserve"> “</w:t>
      </w:r>
      <w:r w:rsidR="005E5CC2" w:rsidRPr="005E5CC2">
        <w:rPr>
          <w:i/>
        </w:rPr>
        <w:t>enhance services provided</w:t>
      </w:r>
      <w:r w:rsidR="005E5CC2">
        <w:t>”,  “</w:t>
      </w:r>
      <w:r w:rsidR="005E5CC2" w:rsidRPr="005E5CC2">
        <w:rPr>
          <w:i/>
        </w:rPr>
        <w:t xml:space="preserve">lessen the instances of abstraction to both current locations”, </w:t>
      </w:r>
      <w:r w:rsidR="005E5CC2">
        <w:rPr>
          <w:i/>
        </w:rPr>
        <w:t>“</w:t>
      </w:r>
      <w:r w:rsidR="005E5CC2" w:rsidRPr="005E5CC2">
        <w:rPr>
          <w:i/>
        </w:rPr>
        <w:t>simplify and save time and expense in relation to many of the practical issues we currently experience</w:t>
      </w:r>
      <w:r w:rsidR="005E5CC2">
        <w:rPr>
          <w:i/>
        </w:rPr>
        <w:t xml:space="preserve">” </w:t>
      </w:r>
      <w:r w:rsidR="005E5CC2" w:rsidRPr="005E5CC2">
        <w:t>and</w:t>
      </w:r>
      <w:r w:rsidR="005E5CC2">
        <w:t xml:space="preserve"> “</w:t>
      </w:r>
      <w:r w:rsidR="005E5CC2" w:rsidRPr="005E5CC2">
        <w:rPr>
          <w:i/>
        </w:rPr>
        <w:t>positively utilise our resources between the Sheriff Court and JP Court</w:t>
      </w:r>
      <w:r w:rsidR="005E5CC2">
        <w:rPr>
          <w:i/>
        </w:rPr>
        <w:t xml:space="preserve">”. </w:t>
      </w:r>
    </w:p>
    <w:p w:rsidR="00697720" w:rsidRDefault="00697720" w:rsidP="00697720">
      <w:pPr>
        <w:pStyle w:val="NoSpacing"/>
        <w:rPr>
          <w:i/>
        </w:rPr>
      </w:pPr>
    </w:p>
    <w:p w:rsidR="00D90DD8" w:rsidRDefault="00D90DD8" w:rsidP="00697720">
      <w:pPr>
        <w:pStyle w:val="NoSpacing"/>
        <w:rPr>
          <w:i/>
        </w:rPr>
      </w:pPr>
    </w:p>
    <w:p w:rsidR="00D90DD8" w:rsidRDefault="00D90DD8" w:rsidP="00697720">
      <w:pPr>
        <w:pStyle w:val="NoSpacing"/>
        <w:rPr>
          <w:i/>
        </w:rPr>
      </w:pPr>
    </w:p>
    <w:p w:rsidR="00D90DD8" w:rsidRDefault="00D90DD8" w:rsidP="00697720">
      <w:pPr>
        <w:pStyle w:val="NoSpacing"/>
        <w:rPr>
          <w:i/>
        </w:rPr>
      </w:pPr>
    </w:p>
    <w:p w:rsidR="00D90DD8" w:rsidRPr="005E5CC2" w:rsidRDefault="00D90DD8" w:rsidP="00697720">
      <w:pPr>
        <w:pStyle w:val="NoSpacing"/>
        <w:rPr>
          <w:i/>
        </w:rPr>
      </w:pPr>
    </w:p>
    <w:p w:rsidR="004A2680" w:rsidRDefault="004A2680" w:rsidP="002D27C2">
      <w:pPr>
        <w:pStyle w:val="NoSpacing"/>
        <w:numPr>
          <w:ilvl w:val="1"/>
          <w:numId w:val="1"/>
        </w:numPr>
      </w:pPr>
      <w:r>
        <w:t>Several r</w:t>
      </w:r>
      <w:r w:rsidR="00697720">
        <w:t xml:space="preserve">espondents </w:t>
      </w:r>
      <w:r>
        <w:t xml:space="preserve">indicated </w:t>
      </w:r>
      <w:r w:rsidR="00A80EEC">
        <w:t>a preference</w:t>
      </w:r>
      <w:r>
        <w:t xml:space="preserve"> for a short term working group </w:t>
      </w:r>
      <w:r w:rsidR="008C5BD6">
        <w:t xml:space="preserve">to consider </w:t>
      </w:r>
      <w:r w:rsidR="00990256">
        <w:t>transitional issues including:</w:t>
      </w:r>
    </w:p>
    <w:p w:rsidR="00990256" w:rsidRDefault="00990256" w:rsidP="00990256">
      <w:pPr>
        <w:pStyle w:val="NoSpacing"/>
        <w:ind w:left="792"/>
      </w:pPr>
    </w:p>
    <w:p w:rsidR="00697720" w:rsidRDefault="00806E49" w:rsidP="002D27C2">
      <w:pPr>
        <w:pStyle w:val="NoSpacing"/>
        <w:numPr>
          <w:ilvl w:val="0"/>
          <w:numId w:val="2"/>
        </w:numPr>
      </w:pPr>
      <w:r>
        <w:t>S</w:t>
      </w:r>
      <w:r w:rsidR="004926F9">
        <w:t xml:space="preserve">ufficient lead </w:t>
      </w:r>
      <w:r w:rsidR="006D0BAD">
        <w:t xml:space="preserve">in time to enable necessary changes </w:t>
      </w:r>
      <w:r>
        <w:t>to documentation and communicate the</w:t>
      </w:r>
      <w:r w:rsidR="004A2680">
        <w:t xml:space="preserve"> change of location to parties </w:t>
      </w:r>
    </w:p>
    <w:p w:rsidR="00990256" w:rsidRDefault="00990256" w:rsidP="00990256">
      <w:pPr>
        <w:pStyle w:val="NoSpacing"/>
        <w:ind w:left="720"/>
      </w:pPr>
    </w:p>
    <w:p w:rsidR="004A2680" w:rsidRDefault="00806E49" w:rsidP="002D27C2">
      <w:pPr>
        <w:pStyle w:val="NoSpacing"/>
        <w:numPr>
          <w:ilvl w:val="0"/>
          <w:numId w:val="2"/>
        </w:numPr>
      </w:pPr>
      <w:r>
        <w:t>A</w:t>
      </w:r>
      <w:r w:rsidR="00D2706F">
        <w:t>ccessibility</w:t>
      </w:r>
      <w:r w:rsidR="004A2680">
        <w:t xml:space="preserve"> </w:t>
      </w:r>
      <w:r>
        <w:t xml:space="preserve">to the building </w:t>
      </w:r>
      <w:r w:rsidR="004A2680">
        <w:t>including disabled parking</w:t>
      </w:r>
    </w:p>
    <w:p w:rsidR="008C5BD6" w:rsidRDefault="008C5BD6" w:rsidP="008C5BD6">
      <w:pPr>
        <w:pStyle w:val="NoSpacing"/>
      </w:pPr>
    </w:p>
    <w:p w:rsidR="004A2680" w:rsidRDefault="00D2706F" w:rsidP="002D27C2">
      <w:pPr>
        <w:pStyle w:val="NoSpacing"/>
        <w:numPr>
          <w:ilvl w:val="0"/>
          <w:numId w:val="2"/>
        </w:numPr>
      </w:pPr>
      <w:r>
        <w:t xml:space="preserve">Consultation with </w:t>
      </w:r>
      <w:r w:rsidR="008C5BD6">
        <w:t xml:space="preserve">victim support organisations in relation to </w:t>
      </w:r>
      <w:r>
        <w:t>f</w:t>
      </w:r>
      <w:r w:rsidR="008E32DC">
        <w:t>acilities for vulnerable witnesses</w:t>
      </w:r>
    </w:p>
    <w:p w:rsidR="00990256" w:rsidRDefault="00990256" w:rsidP="00990256">
      <w:pPr>
        <w:pStyle w:val="NoSpacing"/>
        <w:ind w:left="720"/>
      </w:pPr>
    </w:p>
    <w:p w:rsidR="008E32DC" w:rsidRDefault="008E32DC" w:rsidP="002D27C2">
      <w:pPr>
        <w:pStyle w:val="NoSpacing"/>
        <w:numPr>
          <w:ilvl w:val="0"/>
          <w:numId w:val="2"/>
        </w:numPr>
      </w:pPr>
      <w:r>
        <w:t xml:space="preserve">Access to Social Work and Witness Support Services </w:t>
      </w:r>
    </w:p>
    <w:p w:rsidR="00990256" w:rsidRDefault="00990256" w:rsidP="00990256">
      <w:pPr>
        <w:pStyle w:val="NoSpacing"/>
      </w:pPr>
    </w:p>
    <w:p w:rsidR="008E32DC" w:rsidRDefault="0013642F" w:rsidP="002D27C2">
      <w:pPr>
        <w:pStyle w:val="NoSpacing"/>
        <w:numPr>
          <w:ilvl w:val="0"/>
          <w:numId w:val="2"/>
        </w:numPr>
      </w:pPr>
      <w:r>
        <w:t>The opportunity for radical changes to the programming and management of custodies</w:t>
      </w:r>
    </w:p>
    <w:p w:rsidR="0013642F" w:rsidRDefault="0013642F" w:rsidP="0013642F">
      <w:pPr>
        <w:pStyle w:val="NoSpacing"/>
        <w:ind w:left="1080"/>
      </w:pPr>
    </w:p>
    <w:p w:rsidR="0013642F" w:rsidRDefault="00990256" w:rsidP="002D27C2">
      <w:pPr>
        <w:pStyle w:val="NoSpacing"/>
        <w:numPr>
          <w:ilvl w:val="1"/>
          <w:numId w:val="1"/>
        </w:numPr>
      </w:pPr>
      <w:r>
        <w:t>Two responses highlighted the willingness of JP’s to be involved in any working group established.</w:t>
      </w:r>
    </w:p>
    <w:p w:rsidR="005B4DD6" w:rsidRDefault="005B4DD6" w:rsidP="005B4DD6">
      <w:pPr>
        <w:pStyle w:val="NoSpacing"/>
        <w:ind w:left="360"/>
      </w:pPr>
    </w:p>
    <w:p w:rsidR="00231002" w:rsidRDefault="00231002" w:rsidP="005B4DD6">
      <w:pPr>
        <w:pStyle w:val="NoSpacing"/>
        <w:ind w:left="360"/>
      </w:pPr>
    </w:p>
    <w:p w:rsidR="005B4DD6" w:rsidRDefault="00EF3DDC" w:rsidP="002D27C2">
      <w:pPr>
        <w:pStyle w:val="NoSpacing"/>
        <w:numPr>
          <w:ilvl w:val="0"/>
          <w:numId w:val="1"/>
        </w:numPr>
        <w:rPr>
          <w:b/>
        </w:rPr>
      </w:pPr>
      <w:r>
        <w:rPr>
          <w:b/>
        </w:rPr>
        <w:t xml:space="preserve"> Conclusions</w:t>
      </w:r>
    </w:p>
    <w:p w:rsidR="00EF3DDC" w:rsidRDefault="00EF3DDC" w:rsidP="00EF3DDC">
      <w:pPr>
        <w:pStyle w:val="NoSpacing"/>
        <w:ind w:left="360"/>
        <w:rPr>
          <w:b/>
        </w:rPr>
      </w:pPr>
    </w:p>
    <w:p w:rsidR="005B4DD6" w:rsidRDefault="00274E2D" w:rsidP="002D27C2">
      <w:pPr>
        <w:pStyle w:val="NoSpacing"/>
        <w:numPr>
          <w:ilvl w:val="1"/>
          <w:numId w:val="1"/>
        </w:numPr>
      </w:pPr>
      <w:r>
        <w:t xml:space="preserve">SCTS have carefully considered all </w:t>
      </w:r>
      <w:r w:rsidR="00EF3DDC">
        <w:t xml:space="preserve">the </w:t>
      </w:r>
      <w:r>
        <w:t xml:space="preserve">responses received </w:t>
      </w:r>
      <w:r w:rsidR="00EF3DDC">
        <w:t xml:space="preserve">which are </w:t>
      </w:r>
      <w:r w:rsidR="00163316">
        <w:t xml:space="preserve">fully </w:t>
      </w:r>
      <w:r w:rsidR="00EF3DDC">
        <w:t>supportive of our</w:t>
      </w:r>
      <w:r>
        <w:t xml:space="preserve"> proposal to relocate the </w:t>
      </w:r>
      <w:r w:rsidR="00163316">
        <w:t>JP</w:t>
      </w:r>
      <w:r w:rsidR="00AC331C">
        <w:t xml:space="preserve"> Court currently sitting in</w:t>
      </w:r>
      <w:r>
        <w:t xml:space="preserve"> Coatbridge </w:t>
      </w:r>
      <w:r w:rsidR="00BF69FA">
        <w:t>to Airdrie</w:t>
      </w:r>
      <w:r w:rsidR="00231002">
        <w:t xml:space="preserve"> and we will n</w:t>
      </w:r>
      <w:r w:rsidR="00163316">
        <w:t xml:space="preserve">ow proceed with </w:t>
      </w:r>
      <w:r w:rsidR="00231002">
        <w:t>relocation.</w:t>
      </w:r>
    </w:p>
    <w:p w:rsidR="00274E2D" w:rsidRDefault="00274E2D" w:rsidP="00274E2D">
      <w:pPr>
        <w:pStyle w:val="NoSpacing"/>
        <w:ind w:left="792"/>
      </w:pPr>
    </w:p>
    <w:p w:rsidR="00963C6D" w:rsidRDefault="00231002" w:rsidP="003917EA">
      <w:pPr>
        <w:pStyle w:val="NoSpacing"/>
        <w:numPr>
          <w:ilvl w:val="1"/>
          <w:numId w:val="1"/>
        </w:numPr>
      </w:pPr>
      <w:r>
        <w:t xml:space="preserve">In order to progress that relocation </w:t>
      </w:r>
      <w:r w:rsidR="00963C6D">
        <w:t>t</w:t>
      </w:r>
      <w:r>
        <w:t>he SCTS will now</w:t>
      </w:r>
      <w:r w:rsidR="00963C6D">
        <w:t>:</w:t>
      </w:r>
    </w:p>
    <w:p w:rsidR="008E5916" w:rsidRDefault="00963C6D" w:rsidP="00963C6D">
      <w:pPr>
        <w:pStyle w:val="NoSpacing"/>
        <w:numPr>
          <w:ilvl w:val="0"/>
          <w:numId w:val="21"/>
        </w:numPr>
      </w:pPr>
      <w:r>
        <w:t>Prepare a firm proposal for submission to</w:t>
      </w:r>
      <w:r w:rsidR="00231002">
        <w:t xml:space="preserve"> the</w:t>
      </w:r>
      <w:r w:rsidR="00274E2D">
        <w:t xml:space="preserve"> Scottish </w:t>
      </w:r>
      <w:r w:rsidR="00231002">
        <w:t>Government</w:t>
      </w:r>
      <w:r>
        <w:t xml:space="preserve"> seeking an appropriate order </w:t>
      </w:r>
      <w:r w:rsidR="008E5916">
        <w:t>under Section 59 of the Criminal Proceedings et</w:t>
      </w:r>
      <w:r w:rsidR="003917EA">
        <w:t>c. (Reform) (Scotland) Act 2007.</w:t>
      </w:r>
    </w:p>
    <w:p w:rsidR="003917EA" w:rsidRDefault="003917EA" w:rsidP="003917EA">
      <w:pPr>
        <w:pStyle w:val="NoSpacing"/>
      </w:pPr>
    </w:p>
    <w:p w:rsidR="00963C6D" w:rsidRDefault="00963C6D" w:rsidP="002D27C2">
      <w:pPr>
        <w:pStyle w:val="NoSpacing"/>
        <w:numPr>
          <w:ilvl w:val="1"/>
          <w:numId w:val="1"/>
        </w:numPr>
      </w:pPr>
      <w:r>
        <w:t xml:space="preserve">Providing that order is approved by the Scottish Parliament the SCTS </w:t>
      </w:r>
      <w:r w:rsidR="00DC6AB1">
        <w:t>will</w:t>
      </w:r>
      <w:r>
        <w:t>:</w:t>
      </w:r>
    </w:p>
    <w:p w:rsidR="00963C6D" w:rsidRDefault="00163316" w:rsidP="00963C6D">
      <w:pPr>
        <w:pStyle w:val="NoSpacing"/>
        <w:numPr>
          <w:ilvl w:val="0"/>
          <w:numId w:val="21"/>
        </w:numPr>
      </w:pPr>
      <w:r>
        <w:t>Formalise</w:t>
      </w:r>
      <w:r w:rsidR="00963C6D">
        <w:t xml:space="preserve"> appropriate lease arrangemen</w:t>
      </w:r>
      <w:r w:rsidR="00DC6AB1">
        <w:t>ts,</w:t>
      </w:r>
      <w:r w:rsidR="00963C6D">
        <w:t xml:space="preserve"> arrange t</w:t>
      </w:r>
      <w:r>
        <w:t>he subsequent fitout of the venue</w:t>
      </w:r>
      <w:r w:rsidR="00DC6AB1">
        <w:t xml:space="preserve">, and the </w:t>
      </w:r>
      <w:r w:rsidR="00A80EEC">
        <w:t xml:space="preserve">subsequent </w:t>
      </w:r>
      <w:r w:rsidR="00DC6AB1">
        <w:t xml:space="preserve">handover of the facility </w:t>
      </w:r>
      <w:r w:rsidR="00A80EEC">
        <w:t xml:space="preserve">for </w:t>
      </w:r>
      <w:r w:rsidR="00DC6AB1">
        <w:t xml:space="preserve">operational </w:t>
      </w:r>
      <w:r w:rsidR="00A80EEC">
        <w:t>use</w:t>
      </w:r>
      <w:r w:rsidR="00DC6AB1">
        <w:t>; and</w:t>
      </w:r>
    </w:p>
    <w:p w:rsidR="008E5916" w:rsidRPr="005B4DD6" w:rsidRDefault="00963C6D" w:rsidP="00963C6D">
      <w:pPr>
        <w:pStyle w:val="NoSpacing"/>
        <w:numPr>
          <w:ilvl w:val="0"/>
          <w:numId w:val="21"/>
        </w:numPr>
      </w:pPr>
      <w:r>
        <w:t>Establish a l</w:t>
      </w:r>
      <w:r w:rsidR="008E5916">
        <w:t>ocal transitional arrangements group</w:t>
      </w:r>
      <w:r w:rsidR="00AC331C">
        <w:t xml:space="preserve"> </w:t>
      </w:r>
      <w:r w:rsidR="008E5916">
        <w:t xml:space="preserve">to consider, plan and </w:t>
      </w:r>
      <w:r w:rsidR="00163316">
        <w:t>deliver</w:t>
      </w:r>
      <w:r w:rsidR="008E5916">
        <w:t xml:space="preserve"> </w:t>
      </w:r>
      <w:r w:rsidR="00A80EEC">
        <w:t>a successful</w:t>
      </w:r>
      <w:r w:rsidR="00E83994">
        <w:t xml:space="preserve"> relocation with justice partners and stakeholders.</w:t>
      </w:r>
    </w:p>
    <w:p w:rsidR="005B4DD6" w:rsidRDefault="005B4DD6" w:rsidP="005B4DD6">
      <w:pPr>
        <w:pStyle w:val="NoSpacing"/>
        <w:rPr>
          <w:b/>
        </w:rPr>
      </w:pPr>
    </w:p>
    <w:p w:rsidR="005B4DD6" w:rsidRDefault="005B4DD6" w:rsidP="005B4DD6">
      <w:pPr>
        <w:pStyle w:val="NoSpacing"/>
        <w:rPr>
          <w:b/>
        </w:rPr>
      </w:pPr>
    </w:p>
    <w:p w:rsidR="005B4DD6" w:rsidRDefault="005B4DD6" w:rsidP="005B4DD6">
      <w:pPr>
        <w:pStyle w:val="NoSpacing"/>
        <w:rPr>
          <w:b/>
        </w:rPr>
      </w:pPr>
    </w:p>
    <w:p w:rsidR="005B4DD6" w:rsidRPr="00DC6AB1" w:rsidRDefault="00DC6AB1" w:rsidP="005B4DD6">
      <w:pPr>
        <w:pStyle w:val="NoSpacing"/>
        <w:rPr>
          <w:i/>
        </w:rPr>
      </w:pPr>
      <w:r w:rsidRPr="00DC6AB1">
        <w:rPr>
          <w:i/>
        </w:rPr>
        <w:t>Scottish Courts and Tribunals Service</w:t>
      </w:r>
    </w:p>
    <w:p w:rsidR="00DC6AB1" w:rsidRPr="00DC6AB1" w:rsidRDefault="00DC6AB1" w:rsidP="005B4DD6">
      <w:pPr>
        <w:pStyle w:val="NoSpacing"/>
        <w:rPr>
          <w:i/>
        </w:rPr>
      </w:pPr>
      <w:r w:rsidRPr="00DC6AB1">
        <w:rPr>
          <w:i/>
        </w:rPr>
        <w:t>August 2018</w:t>
      </w:r>
    </w:p>
    <w:p w:rsidR="005B4DD6" w:rsidRPr="005B4DD6" w:rsidRDefault="005B4DD6" w:rsidP="005B4DD6">
      <w:pPr>
        <w:pStyle w:val="NoSpacing"/>
        <w:rPr>
          <w:b/>
        </w:rPr>
      </w:pPr>
    </w:p>
    <w:p w:rsidR="006D0BAD" w:rsidRDefault="006D0BAD" w:rsidP="00697720">
      <w:pPr>
        <w:pStyle w:val="NoSpacing"/>
        <w:ind w:left="360"/>
      </w:pPr>
    </w:p>
    <w:p w:rsidR="00453CDA" w:rsidRDefault="00453CDA"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p>
    <w:p w:rsidR="006F20E2" w:rsidRDefault="006F20E2" w:rsidP="009A1D1E">
      <w:pPr>
        <w:rPr>
          <w:rFonts w:ascii="Arial" w:hAnsi="Arial" w:cs="Arial"/>
          <w:b/>
        </w:rPr>
      </w:pPr>
      <w:bookmarkStart w:id="1" w:name="AppendixA"/>
      <w:r>
        <w:rPr>
          <w:rFonts w:ascii="Arial" w:hAnsi="Arial" w:cs="Arial"/>
          <w:b/>
        </w:rPr>
        <w:t>APPENDIX A – CONSULTEE LIST</w:t>
      </w:r>
    </w:p>
    <w:bookmarkEnd w:id="1"/>
    <w:p w:rsidR="006F20E2" w:rsidRDefault="006F20E2" w:rsidP="009A1D1E">
      <w:pPr>
        <w:rPr>
          <w:rFonts w:ascii="Arial" w:hAnsi="Arial" w:cs="Arial"/>
          <w:b/>
        </w:rPr>
      </w:pPr>
    </w:p>
    <w:p w:rsidR="00B24D5D" w:rsidRPr="00B24D5D" w:rsidRDefault="00B24D5D" w:rsidP="00B24D5D">
      <w:pPr>
        <w:rPr>
          <w:rFonts w:ascii="Arial" w:hAnsi="Arial"/>
          <w:b/>
          <w:lang w:eastAsia="en-GB"/>
        </w:rPr>
      </w:pPr>
      <w:r w:rsidRPr="00B24D5D">
        <w:rPr>
          <w:rFonts w:ascii="Arial" w:hAnsi="Arial"/>
          <w:b/>
          <w:lang w:eastAsia="en-GB"/>
        </w:rPr>
        <w:t>Building Owner</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Chief Executive – North Lanarkshire Council</w:t>
      </w:r>
    </w:p>
    <w:p w:rsidR="00B24D5D" w:rsidRPr="00B24D5D" w:rsidRDefault="00B24D5D" w:rsidP="00B24D5D">
      <w:pPr>
        <w:rPr>
          <w:rFonts w:ascii="Arial" w:hAnsi="Arial"/>
          <w:lang w:eastAsia="en-GB"/>
        </w:rPr>
      </w:pPr>
    </w:p>
    <w:p w:rsidR="00B24D5D" w:rsidRPr="00B24D5D" w:rsidRDefault="00B24D5D" w:rsidP="00B24D5D">
      <w:pPr>
        <w:rPr>
          <w:rFonts w:ascii="Arial" w:hAnsi="Arial"/>
          <w:b/>
          <w:lang w:eastAsia="en-GB"/>
        </w:rPr>
      </w:pPr>
      <w:r w:rsidRPr="00B24D5D">
        <w:rPr>
          <w:rFonts w:ascii="Arial" w:hAnsi="Arial"/>
          <w:b/>
          <w:lang w:eastAsia="en-GB"/>
        </w:rPr>
        <w:t>Judiciary</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Sheriffs Principal</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Scottish Justices Association</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Sheriffs Association</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Part Time Sheriffs Association</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Summary Sheriffs Association</w:t>
      </w:r>
    </w:p>
    <w:p w:rsidR="00B24D5D" w:rsidRPr="00B24D5D" w:rsidRDefault="00B24D5D" w:rsidP="00B24D5D">
      <w:pPr>
        <w:rPr>
          <w:rFonts w:ascii="Arial" w:hAnsi="Arial"/>
          <w:lang w:eastAsia="en-GB"/>
        </w:rPr>
      </w:pPr>
    </w:p>
    <w:p w:rsidR="00B24D5D" w:rsidRPr="00B24D5D" w:rsidRDefault="00B24D5D" w:rsidP="00B24D5D">
      <w:pPr>
        <w:rPr>
          <w:rFonts w:ascii="Arial" w:hAnsi="Arial"/>
          <w:b/>
          <w:lang w:eastAsia="en-GB"/>
        </w:rPr>
      </w:pPr>
      <w:r w:rsidRPr="00B24D5D">
        <w:rPr>
          <w:rFonts w:ascii="Arial" w:hAnsi="Arial"/>
          <w:b/>
          <w:lang w:eastAsia="en-GB"/>
        </w:rPr>
        <w:t>Justice Delivery Organisations</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Chief Executive  - C</w:t>
      </w:r>
      <w:r w:rsidR="00BE70B0">
        <w:rPr>
          <w:rFonts w:ascii="Arial" w:hAnsi="Arial"/>
          <w:lang w:eastAsia="en-GB"/>
        </w:rPr>
        <w:t>rown Office and Procurator Fiscal Service</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Chief Constable – Police Scotland</w:t>
      </w:r>
    </w:p>
    <w:p w:rsidR="00B24D5D" w:rsidRPr="00B24D5D" w:rsidRDefault="00B24D5D" w:rsidP="002D27C2">
      <w:pPr>
        <w:numPr>
          <w:ilvl w:val="0"/>
          <w:numId w:val="4"/>
        </w:numPr>
        <w:spacing w:after="200" w:line="276" w:lineRule="auto"/>
        <w:contextualSpacing/>
        <w:rPr>
          <w:rFonts w:ascii="Arial" w:hAnsi="Arial"/>
          <w:lang w:eastAsia="en-GB"/>
        </w:rPr>
      </w:pPr>
      <w:r w:rsidRPr="00B24D5D">
        <w:rPr>
          <w:rFonts w:ascii="Arial" w:hAnsi="Arial"/>
          <w:lang w:eastAsia="en-GB"/>
        </w:rPr>
        <w:t>Chief Executive –</w:t>
      </w:r>
      <w:r w:rsidR="00BE70B0">
        <w:rPr>
          <w:rFonts w:ascii="Arial" w:hAnsi="Arial"/>
          <w:lang w:eastAsia="en-GB"/>
        </w:rPr>
        <w:t xml:space="preserve"> Scottish Prison Service</w:t>
      </w:r>
    </w:p>
    <w:p w:rsidR="00B24D5D" w:rsidRPr="00B24D5D" w:rsidRDefault="00B24D5D" w:rsidP="00B24D5D">
      <w:pPr>
        <w:rPr>
          <w:rFonts w:ascii="Arial" w:hAnsi="Arial"/>
          <w:lang w:eastAsia="en-GB"/>
        </w:rPr>
      </w:pPr>
    </w:p>
    <w:p w:rsidR="00B24D5D" w:rsidRPr="00B24D5D" w:rsidRDefault="00B24D5D" w:rsidP="00B24D5D">
      <w:pPr>
        <w:rPr>
          <w:rFonts w:ascii="Arial" w:hAnsi="Arial"/>
          <w:b/>
          <w:lang w:eastAsia="en-GB"/>
        </w:rPr>
      </w:pPr>
      <w:r w:rsidRPr="00B24D5D">
        <w:rPr>
          <w:rFonts w:ascii="Arial" w:hAnsi="Arial"/>
          <w:b/>
          <w:lang w:eastAsia="en-GB"/>
        </w:rPr>
        <w:t>Others</w:t>
      </w:r>
    </w:p>
    <w:p w:rsidR="00B24D5D" w:rsidRPr="00B24D5D" w:rsidRDefault="00BE70B0" w:rsidP="002D27C2">
      <w:pPr>
        <w:numPr>
          <w:ilvl w:val="0"/>
          <w:numId w:val="5"/>
        </w:numPr>
        <w:spacing w:after="200" w:line="276" w:lineRule="auto"/>
        <w:contextualSpacing/>
        <w:rPr>
          <w:rFonts w:ascii="Arial" w:hAnsi="Arial"/>
          <w:lang w:eastAsia="en-GB"/>
        </w:rPr>
      </w:pPr>
      <w:r>
        <w:rPr>
          <w:rFonts w:ascii="Arial" w:hAnsi="Arial"/>
          <w:lang w:eastAsia="en-GB"/>
        </w:rPr>
        <w:t>The Law Society of</w:t>
      </w:r>
      <w:r w:rsidR="00B24D5D" w:rsidRPr="00B24D5D">
        <w:rPr>
          <w:rFonts w:ascii="Arial" w:hAnsi="Arial"/>
          <w:lang w:eastAsia="en-GB"/>
        </w:rPr>
        <w:t xml:space="preserve"> Scotland</w:t>
      </w:r>
    </w:p>
    <w:p w:rsidR="00B24D5D" w:rsidRPr="00B24D5D" w:rsidRDefault="00BE70B0" w:rsidP="002D27C2">
      <w:pPr>
        <w:numPr>
          <w:ilvl w:val="0"/>
          <w:numId w:val="5"/>
        </w:numPr>
        <w:spacing w:after="200" w:line="276" w:lineRule="auto"/>
        <w:contextualSpacing/>
        <w:rPr>
          <w:rFonts w:ascii="Arial" w:hAnsi="Arial"/>
          <w:lang w:eastAsia="en-GB"/>
        </w:rPr>
      </w:pPr>
      <w:r>
        <w:rPr>
          <w:rFonts w:ascii="Arial" w:hAnsi="Arial"/>
          <w:lang w:eastAsia="en-GB"/>
        </w:rPr>
        <w:t>Dean of the Airdrie Society of Solicitors</w:t>
      </w:r>
    </w:p>
    <w:p w:rsidR="00B24D5D" w:rsidRPr="00B24D5D" w:rsidRDefault="00BE70B0" w:rsidP="002D27C2">
      <w:pPr>
        <w:numPr>
          <w:ilvl w:val="0"/>
          <w:numId w:val="5"/>
        </w:numPr>
        <w:spacing w:after="200" w:line="276" w:lineRule="auto"/>
        <w:contextualSpacing/>
        <w:rPr>
          <w:rFonts w:ascii="Arial" w:hAnsi="Arial"/>
          <w:lang w:eastAsia="en-GB"/>
        </w:rPr>
      </w:pPr>
      <w:r>
        <w:rPr>
          <w:rFonts w:ascii="Arial" w:hAnsi="Arial"/>
          <w:lang w:eastAsia="en-GB"/>
        </w:rPr>
        <w:t>Public and Commercial Services Union</w:t>
      </w:r>
    </w:p>
    <w:p w:rsidR="00B24D5D" w:rsidRPr="00B24D5D" w:rsidRDefault="00B24D5D" w:rsidP="002D27C2">
      <w:pPr>
        <w:numPr>
          <w:ilvl w:val="0"/>
          <w:numId w:val="5"/>
        </w:numPr>
        <w:spacing w:after="200" w:line="276" w:lineRule="auto"/>
        <w:contextualSpacing/>
        <w:rPr>
          <w:rFonts w:ascii="Arial" w:hAnsi="Arial"/>
          <w:lang w:eastAsia="en-GB"/>
        </w:rPr>
      </w:pPr>
      <w:r w:rsidRPr="00B24D5D">
        <w:rPr>
          <w:rFonts w:ascii="Arial" w:hAnsi="Arial"/>
          <w:lang w:eastAsia="en-GB"/>
        </w:rPr>
        <w:t>Victim Support Scotland</w:t>
      </w:r>
    </w:p>
    <w:p w:rsidR="00B24D5D" w:rsidRPr="00B24D5D" w:rsidRDefault="00B24D5D" w:rsidP="00B24D5D">
      <w:pPr>
        <w:rPr>
          <w:rFonts w:ascii="Arial" w:hAnsi="Arial"/>
          <w:lang w:eastAsia="en-GB"/>
        </w:rPr>
      </w:pPr>
    </w:p>
    <w:p w:rsidR="00B24D5D" w:rsidRPr="00B24D5D" w:rsidRDefault="00B24D5D" w:rsidP="00B24D5D">
      <w:pPr>
        <w:rPr>
          <w:rFonts w:ascii="Arial" w:hAnsi="Arial"/>
          <w:lang w:eastAsia="en-GB"/>
        </w:rPr>
      </w:pPr>
    </w:p>
    <w:p w:rsidR="00B24D5D" w:rsidRPr="00B24D5D" w:rsidRDefault="00B24D5D" w:rsidP="00B24D5D">
      <w:pPr>
        <w:rPr>
          <w:rFonts w:ascii="Arial" w:hAnsi="Arial"/>
        </w:rPr>
      </w:pPr>
    </w:p>
    <w:p w:rsidR="00A13239" w:rsidRDefault="00A13239" w:rsidP="00B24D5D">
      <w:pPr>
        <w:rPr>
          <w:rFonts w:ascii="Arial" w:hAnsi="Arial"/>
          <w:b/>
          <w:lang w:eastAsia="en-GB"/>
        </w:rPr>
        <w:sectPr w:rsidR="00A13239" w:rsidSect="003F6054">
          <w:headerReference w:type="default" r:id="rId12"/>
          <w:footerReference w:type="default" r:id="rId13"/>
          <w:headerReference w:type="first" r:id="rId14"/>
          <w:pgSz w:w="11906" w:h="16838" w:code="9"/>
          <w:pgMar w:top="1440" w:right="1440" w:bottom="1440" w:left="1440" w:header="709" w:footer="709" w:gutter="0"/>
          <w:pgNumType w:start="0"/>
          <w:cols w:space="708"/>
          <w:titlePg/>
          <w:docGrid w:linePitch="360"/>
        </w:sectPr>
      </w:pPr>
    </w:p>
    <w:p w:rsidR="00A13239" w:rsidRDefault="00A13239" w:rsidP="00B24D5D">
      <w:pPr>
        <w:rPr>
          <w:rFonts w:ascii="Arial" w:hAnsi="Arial"/>
          <w:b/>
          <w:lang w:eastAsia="en-GB"/>
        </w:rPr>
      </w:pPr>
      <w:bookmarkStart w:id="2" w:name="AppendixB"/>
      <w:r>
        <w:rPr>
          <w:rFonts w:ascii="Arial" w:hAnsi="Arial"/>
          <w:b/>
          <w:lang w:eastAsia="en-GB"/>
        </w:rPr>
        <w:lastRenderedPageBreak/>
        <w:t>APPENDIX B – RESPONSES FROM CONSULTEES</w:t>
      </w:r>
    </w:p>
    <w:tbl>
      <w:tblPr>
        <w:tblpPr w:leftFromText="180" w:rightFromText="180"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089"/>
      </w:tblGrid>
      <w:tr w:rsidR="003314B0" w:rsidRPr="003314B0" w:rsidTr="002D27C2">
        <w:tc>
          <w:tcPr>
            <w:tcW w:w="14174" w:type="dxa"/>
            <w:gridSpan w:val="2"/>
            <w:shd w:val="clear" w:color="auto" w:fill="17365D"/>
          </w:tcPr>
          <w:bookmarkEnd w:id="2"/>
          <w:p w:rsidR="003314B0" w:rsidRPr="002D27C2" w:rsidRDefault="003314B0" w:rsidP="002D27C2">
            <w:pPr>
              <w:jc w:val="center"/>
              <w:rPr>
                <w:b/>
                <w:color w:val="FFFFFF"/>
              </w:rPr>
            </w:pPr>
            <w:r w:rsidRPr="002D27C2">
              <w:rPr>
                <w:b/>
                <w:color w:val="FFFFFF"/>
              </w:rPr>
              <w:t>JUDICIARY RESPONSES</w:t>
            </w:r>
          </w:p>
          <w:p w:rsidR="003314B0" w:rsidRPr="003314B0" w:rsidRDefault="003314B0" w:rsidP="002D27C2">
            <w:pPr>
              <w:jc w:val="center"/>
              <w:rPr>
                <w:b/>
                <w:sz w:val="20"/>
                <w:szCs w:val="20"/>
              </w:rPr>
            </w:pPr>
          </w:p>
        </w:tc>
      </w:tr>
      <w:tr w:rsidR="003314B0" w:rsidRPr="003314B0" w:rsidTr="00A80EEC">
        <w:tc>
          <w:tcPr>
            <w:tcW w:w="3085" w:type="dxa"/>
            <w:shd w:val="clear" w:color="auto" w:fill="auto"/>
          </w:tcPr>
          <w:p w:rsidR="003314B0" w:rsidRPr="002D27C2" w:rsidRDefault="003314B0" w:rsidP="00A80EEC">
            <w:pPr>
              <w:rPr>
                <w:b/>
                <w:sz w:val="20"/>
                <w:szCs w:val="20"/>
              </w:rPr>
            </w:pPr>
            <w:r w:rsidRPr="002D27C2">
              <w:rPr>
                <w:b/>
                <w:sz w:val="20"/>
                <w:szCs w:val="20"/>
              </w:rPr>
              <w:t xml:space="preserve">The impact </w:t>
            </w:r>
            <w:r w:rsidR="00A80EEC">
              <w:rPr>
                <w:b/>
                <w:sz w:val="20"/>
                <w:szCs w:val="20"/>
              </w:rPr>
              <w:t>a</w:t>
            </w:r>
            <w:r w:rsidRPr="002D27C2">
              <w:rPr>
                <w:b/>
                <w:sz w:val="20"/>
                <w:szCs w:val="20"/>
              </w:rPr>
              <w:t xml:space="preserve"> relocation of the Coatbridge JP court will have on your organisation and the services you provide</w:t>
            </w:r>
          </w:p>
        </w:tc>
        <w:tc>
          <w:tcPr>
            <w:tcW w:w="11089" w:type="dxa"/>
            <w:shd w:val="clear" w:color="auto" w:fill="auto"/>
          </w:tcPr>
          <w:p w:rsidR="003314B0" w:rsidRPr="002D27C2" w:rsidRDefault="003314B0" w:rsidP="002D27C2">
            <w:pPr>
              <w:numPr>
                <w:ilvl w:val="0"/>
                <w:numId w:val="6"/>
              </w:numPr>
              <w:rPr>
                <w:sz w:val="20"/>
                <w:szCs w:val="20"/>
              </w:rPr>
            </w:pPr>
            <w:r w:rsidRPr="002D27C2">
              <w:rPr>
                <w:sz w:val="20"/>
                <w:szCs w:val="20"/>
              </w:rPr>
              <w:t>The proposed relocation is positively welcomed and should lead to an improvement in the services provided by Justices of the Peace sitting in the Court.</w:t>
            </w:r>
          </w:p>
          <w:p w:rsidR="003314B0" w:rsidRPr="002D27C2" w:rsidRDefault="003314B0" w:rsidP="002D27C2">
            <w:pPr>
              <w:rPr>
                <w:sz w:val="20"/>
                <w:szCs w:val="20"/>
              </w:rPr>
            </w:pPr>
          </w:p>
          <w:p w:rsidR="003314B0" w:rsidRPr="002D27C2" w:rsidRDefault="003314B0" w:rsidP="002D27C2">
            <w:pPr>
              <w:numPr>
                <w:ilvl w:val="0"/>
                <w:numId w:val="6"/>
              </w:numPr>
              <w:rPr>
                <w:sz w:val="20"/>
                <w:szCs w:val="20"/>
              </w:rPr>
            </w:pPr>
            <w:r w:rsidRPr="002D27C2">
              <w:rPr>
                <w:sz w:val="20"/>
                <w:szCs w:val="20"/>
              </w:rPr>
              <w:t>Relocation will have a positive effect on the administration of justice, as there will be less wasted time for people who currently have to shuttle backwards and forwards between Airdrie and Coatbridge</w:t>
            </w:r>
          </w:p>
          <w:p w:rsidR="003314B0" w:rsidRPr="002D27C2" w:rsidRDefault="003314B0" w:rsidP="002D27C2">
            <w:pPr>
              <w:rPr>
                <w:sz w:val="20"/>
                <w:szCs w:val="20"/>
              </w:rPr>
            </w:pPr>
          </w:p>
          <w:p w:rsidR="003314B0" w:rsidRPr="002D27C2" w:rsidRDefault="003314B0" w:rsidP="002D27C2">
            <w:pPr>
              <w:numPr>
                <w:ilvl w:val="0"/>
                <w:numId w:val="6"/>
              </w:numPr>
              <w:rPr>
                <w:b/>
                <w:sz w:val="20"/>
                <w:szCs w:val="20"/>
              </w:rPr>
            </w:pPr>
            <w:r w:rsidRPr="002D27C2">
              <w:rPr>
                <w:sz w:val="20"/>
                <w:szCs w:val="20"/>
              </w:rPr>
              <w:t>This relocation will result in improved Court facilities for JPs, Court officials and the general public. The current building is quite outdated an</w:t>
            </w:r>
            <w:r w:rsidR="00B516E7">
              <w:rPr>
                <w:sz w:val="20"/>
                <w:szCs w:val="20"/>
              </w:rPr>
              <w:t>d</w:t>
            </w:r>
            <w:r w:rsidRPr="002D27C2">
              <w:rPr>
                <w:sz w:val="20"/>
                <w:szCs w:val="20"/>
              </w:rPr>
              <w:t xml:space="preserve"> unsuitable to meet the needs of a modern Court.</w:t>
            </w:r>
          </w:p>
        </w:tc>
      </w:tr>
      <w:tr w:rsidR="003314B0" w:rsidRPr="003314B0" w:rsidTr="00A80EEC">
        <w:tc>
          <w:tcPr>
            <w:tcW w:w="3085" w:type="dxa"/>
            <w:shd w:val="clear" w:color="auto" w:fill="auto"/>
          </w:tcPr>
          <w:p w:rsidR="003314B0" w:rsidRPr="002D27C2" w:rsidRDefault="003314B0" w:rsidP="002D27C2">
            <w:pPr>
              <w:rPr>
                <w:b/>
                <w:sz w:val="20"/>
                <w:szCs w:val="20"/>
              </w:rPr>
            </w:pPr>
            <w:r w:rsidRPr="002D27C2">
              <w:rPr>
                <w:b/>
                <w:sz w:val="20"/>
                <w:szCs w:val="20"/>
              </w:rPr>
              <w:t>The extent to which the timing of that relocation will have an impact on your organisation and the services you provide</w:t>
            </w:r>
          </w:p>
        </w:tc>
        <w:tc>
          <w:tcPr>
            <w:tcW w:w="11089" w:type="dxa"/>
            <w:shd w:val="clear" w:color="auto" w:fill="auto"/>
          </w:tcPr>
          <w:p w:rsidR="003314B0" w:rsidRPr="002D27C2" w:rsidRDefault="003314B0" w:rsidP="002D27C2">
            <w:pPr>
              <w:numPr>
                <w:ilvl w:val="0"/>
                <w:numId w:val="7"/>
              </w:numPr>
              <w:rPr>
                <w:sz w:val="20"/>
                <w:szCs w:val="20"/>
              </w:rPr>
            </w:pPr>
            <w:r w:rsidRPr="002D27C2">
              <w:rPr>
                <w:sz w:val="20"/>
                <w:szCs w:val="20"/>
              </w:rPr>
              <w:t>The timing is not critical on the impact of the services provided.  Due to the expected benefits which should accrue from the relocation, we would welcome the move at the earliest appropriate opportunity.</w:t>
            </w:r>
          </w:p>
          <w:p w:rsidR="003314B0" w:rsidRPr="002D27C2" w:rsidRDefault="003314B0" w:rsidP="002D27C2">
            <w:pPr>
              <w:rPr>
                <w:sz w:val="20"/>
                <w:szCs w:val="20"/>
              </w:rPr>
            </w:pPr>
          </w:p>
          <w:p w:rsidR="003314B0" w:rsidRPr="002D27C2" w:rsidRDefault="003314B0" w:rsidP="002D27C2">
            <w:pPr>
              <w:numPr>
                <w:ilvl w:val="0"/>
                <w:numId w:val="7"/>
              </w:numPr>
              <w:rPr>
                <w:sz w:val="20"/>
                <w:szCs w:val="20"/>
              </w:rPr>
            </w:pPr>
            <w:r w:rsidRPr="002D27C2">
              <w:rPr>
                <w:sz w:val="20"/>
                <w:szCs w:val="20"/>
              </w:rPr>
              <w:t>The sooner the move can be effected the better</w:t>
            </w:r>
          </w:p>
          <w:p w:rsidR="003314B0" w:rsidRPr="002D27C2" w:rsidRDefault="003314B0" w:rsidP="002D27C2">
            <w:pPr>
              <w:rPr>
                <w:sz w:val="20"/>
                <w:szCs w:val="20"/>
              </w:rPr>
            </w:pPr>
          </w:p>
          <w:p w:rsidR="003314B0" w:rsidRPr="002D27C2" w:rsidRDefault="003314B0" w:rsidP="002D27C2">
            <w:pPr>
              <w:numPr>
                <w:ilvl w:val="0"/>
                <w:numId w:val="7"/>
              </w:numPr>
              <w:rPr>
                <w:sz w:val="20"/>
                <w:szCs w:val="20"/>
              </w:rPr>
            </w:pPr>
            <w:r w:rsidRPr="002D27C2">
              <w:rPr>
                <w:sz w:val="20"/>
                <w:szCs w:val="20"/>
              </w:rPr>
              <w:t>No significant impact.</w:t>
            </w:r>
          </w:p>
        </w:tc>
      </w:tr>
      <w:tr w:rsidR="003314B0" w:rsidRPr="003314B0" w:rsidTr="00A80EEC">
        <w:tc>
          <w:tcPr>
            <w:tcW w:w="3085" w:type="dxa"/>
            <w:shd w:val="clear" w:color="auto" w:fill="auto"/>
          </w:tcPr>
          <w:p w:rsidR="003314B0" w:rsidRPr="002D27C2" w:rsidRDefault="003314B0" w:rsidP="002D27C2">
            <w:pPr>
              <w:rPr>
                <w:sz w:val="20"/>
                <w:szCs w:val="20"/>
              </w:rPr>
            </w:pPr>
            <w:r w:rsidRPr="002D27C2">
              <w:rPr>
                <w:b/>
                <w:sz w:val="20"/>
                <w:szCs w:val="20"/>
              </w:rPr>
              <w:t>Are there any arrangements in the programming of the court business or court facilities you feel needs to be taken account of?</w:t>
            </w:r>
          </w:p>
        </w:tc>
        <w:tc>
          <w:tcPr>
            <w:tcW w:w="11089" w:type="dxa"/>
            <w:shd w:val="clear" w:color="auto" w:fill="auto"/>
          </w:tcPr>
          <w:p w:rsidR="003314B0" w:rsidRPr="002D27C2" w:rsidRDefault="003314B0" w:rsidP="002D27C2">
            <w:pPr>
              <w:numPr>
                <w:ilvl w:val="0"/>
                <w:numId w:val="8"/>
              </w:numPr>
              <w:rPr>
                <w:sz w:val="20"/>
                <w:szCs w:val="20"/>
              </w:rPr>
            </w:pPr>
            <w:r w:rsidRPr="002D27C2">
              <w:rPr>
                <w:sz w:val="20"/>
                <w:szCs w:val="20"/>
              </w:rPr>
              <w:t>It is important that include access to Social Work Services and Witness Support are provided for the JP Court.</w:t>
            </w:r>
          </w:p>
          <w:p w:rsidR="003314B0" w:rsidRPr="002D27C2" w:rsidRDefault="003314B0" w:rsidP="002D27C2">
            <w:pPr>
              <w:rPr>
                <w:sz w:val="20"/>
                <w:szCs w:val="20"/>
              </w:rPr>
            </w:pPr>
          </w:p>
          <w:p w:rsidR="003314B0" w:rsidRPr="002D27C2" w:rsidRDefault="003314B0" w:rsidP="002D27C2">
            <w:pPr>
              <w:numPr>
                <w:ilvl w:val="0"/>
                <w:numId w:val="8"/>
              </w:numPr>
              <w:rPr>
                <w:sz w:val="20"/>
                <w:szCs w:val="20"/>
              </w:rPr>
            </w:pPr>
            <w:r w:rsidRPr="002D27C2">
              <w:rPr>
                <w:sz w:val="20"/>
                <w:szCs w:val="20"/>
              </w:rPr>
              <w:t>Please ensure that the IT services are all working perfectly for the first sitting day.</w:t>
            </w:r>
          </w:p>
          <w:p w:rsidR="003314B0" w:rsidRPr="002D27C2" w:rsidRDefault="003314B0" w:rsidP="002D27C2">
            <w:pPr>
              <w:rPr>
                <w:sz w:val="20"/>
                <w:szCs w:val="20"/>
              </w:rPr>
            </w:pPr>
          </w:p>
          <w:p w:rsidR="003314B0" w:rsidRPr="002D27C2" w:rsidRDefault="003314B0" w:rsidP="002D27C2">
            <w:pPr>
              <w:numPr>
                <w:ilvl w:val="0"/>
                <w:numId w:val="8"/>
              </w:numPr>
              <w:rPr>
                <w:sz w:val="20"/>
                <w:szCs w:val="20"/>
              </w:rPr>
            </w:pPr>
            <w:r w:rsidRPr="002D27C2">
              <w:rPr>
                <w:sz w:val="20"/>
                <w:szCs w:val="20"/>
              </w:rPr>
              <w:t>None that I am aware of</w:t>
            </w:r>
          </w:p>
        </w:tc>
      </w:tr>
      <w:tr w:rsidR="003314B0" w:rsidRPr="003314B0" w:rsidTr="00A80EEC">
        <w:tc>
          <w:tcPr>
            <w:tcW w:w="3085" w:type="dxa"/>
            <w:shd w:val="clear" w:color="auto" w:fill="auto"/>
          </w:tcPr>
          <w:p w:rsidR="003314B0" w:rsidRPr="002D27C2" w:rsidRDefault="003314B0" w:rsidP="002D27C2">
            <w:pPr>
              <w:rPr>
                <w:b/>
                <w:sz w:val="20"/>
                <w:szCs w:val="20"/>
              </w:rPr>
            </w:pPr>
            <w:r w:rsidRPr="002D27C2">
              <w:rPr>
                <w:b/>
                <w:sz w:val="20"/>
                <w:szCs w:val="20"/>
              </w:rPr>
              <w:t>Are there any areas where you consider additional or transitional arrangements are required?</w:t>
            </w:r>
          </w:p>
        </w:tc>
        <w:tc>
          <w:tcPr>
            <w:tcW w:w="11089" w:type="dxa"/>
            <w:shd w:val="clear" w:color="auto" w:fill="auto"/>
          </w:tcPr>
          <w:p w:rsidR="003314B0" w:rsidRPr="003314B0" w:rsidRDefault="003314B0" w:rsidP="002D27C2">
            <w:pPr>
              <w:numPr>
                <w:ilvl w:val="0"/>
                <w:numId w:val="9"/>
              </w:numPr>
              <w:rPr>
                <w:sz w:val="20"/>
                <w:szCs w:val="20"/>
              </w:rPr>
            </w:pPr>
            <w:r w:rsidRPr="003314B0">
              <w:rPr>
                <w:sz w:val="20"/>
                <w:szCs w:val="20"/>
              </w:rPr>
              <w:t>All practical access issues do need to be considered, including physical access for the disabled, the provision of lifts and ramps, plus parking arrangements. In addition the management of Custodies and administrative support functions need to be clearly established.</w:t>
            </w:r>
          </w:p>
          <w:p w:rsidR="003314B0" w:rsidRPr="003314B0" w:rsidRDefault="003314B0" w:rsidP="002D27C2">
            <w:pPr>
              <w:rPr>
                <w:sz w:val="20"/>
                <w:szCs w:val="20"/>
              </w:rPr>
            </w:pPr>
          </w:p>
          <w:p w:rsidR="003314B0" w:rsidRPr="003314B0" w:rsidRDefault="003314B0" w:rsidP="002D27C2">
            <w:pPr>
              <w:numPr>
                <w:ilvl w:val="0"/>
                <w:numId w:val="9"/>
              </w:numPr>
              <w:rPr>
                <w:sz w:val="20"/>
                <w:szCs w:val="20"/>
              </w:rPr>
            </w:pPr>
            <w:r w:rsidRPr="003314B0">
              <w:rPr>
                <w:sz w:val="20"/>
                <w:szCs w:val="20"/>
              </w:rPr>
              <w:t>As dates are set for future diets, we need to communicate the change robustly to minimise accused and witnesses showing up at the wrong place.</w:t>
            </w:r>
          </w:p>
          <w:p w:rsidR="003314B0" w:rsidRPr="003314B0" w:rsidRDefault="003314B0" w:rsidP="002D27C2">
            <w:pPr>
              <w:rPr>
                <w:sz w:val="20"/>
                <w:szCs w:val="20"/>
              </w:rPr>
            </w:pPr>
          </w:p>
          <w:p w:rsidR="003314B0" w:rsidRPr="003314B0" w:rsidRDefault="003314B0" w:rsidP="002D27C2">
            <w:pPr>
              <w:numPr>
                <w:ilvl w:val="0"/>
                <w:numId w:val="9"/>
              </w:numPr>
              <w:rPr>
                <w:sz w:val="20"/>
                <w:szCs w:val="20"/>
              </w:rPr>
            </w:pPr>
            <w:r w:rsidRPr="002D27C2">
              <w:rPr>
                <w:sz w:val="20"/>
                <w:szCs w:val="20"/>
              </w:rPr>
              <w:t>None that I am aware of</w:t>
            </w:r>
          </w:p>
        </w:tc>
      </w:tr>
      <w:tr w:rsidR="003314B0" w:rsidRPr="003314B0" w:rsidTr="00A80EEC">
        <w:tc>
          <w:tcPr>
            <w:tcW w:w="3085" w:type="dxa"/>
            <w:shd w:val="clear" w:color="auto" w:fill="auto"/>
          </w:tcPr>
          <w:p w:rsidR="003314B0" w:rsidRPr="002D27C2" w:rsidRDefault="003314B0" w:rsidP="002D27C2">
            <w:pPr>
              <w:rPr>
                <w:b/>
              </w:rPr>
            </w:pPr>
            <w:r w:rsidRPr="002D27C2">
              <w:rPr>
                <w:b/>
                <w:sz w:val="20"/>
              </w:rPr>
              <w:t>Are there any other matters you wish to raise?</w:t>
            </w:r>
          </w:p>
        </w:tc>
        <w:tc>
          <w:tcPr>
            <w:tcW w:w="11089" w:type="dxa"/>
            <w:shd w:val="clear" w:color="auto" w:fill="auto"/>
          </w:tcPr>
          <w:p w:rsidR="003314B0" w:rsidRPr="003314B0" w:rsidRDefault="003314B0" w:rsidP="002D27C2">
            <w:pPr>
              <w:numPr>
                <w:ilvl w:val="0"/>
                <w:numId w:val="10"/>
              </w:numPr>
              <w:rPr>
                <w:sz w:val="20"/>
                <w:szCs w:val="20"/>
              </w:rPr>
            </w:pPr>
            <w:r w:rsidRPr="003314B0">
              <w:rPr>
                <w:sz w:val="20"/>
                <w:szCs w:val="20"/>
              </w:rPr>
              <w:t>There are willing volunteers amongst the JP community who serve the Coatbridge Court who would be willing to serve on any transitional team which is established to review and agree all of the requirements associated with the relocation.</w:t>
            </w:r>
          </w:p>
          <w:p w:rsidR="003314B0" w:rsidRPr="003314B0" w:rsidRDefault="003314B0" w:rsidP="002D27C2">
            <w:pPr>
              <w:rPr>
                <w:sz w:val="20"/>
                <w:szCs w:val="20"/>
              </w:rPr>
            </w:pPr>
          </w:p>
          <w:p w:rsidR="003314B0" w:rsidRPr="003314B0" w:rsidRDefault="003314B0" w:rsidP="002D27C2">
            <w:pPr>
              <w:numPr>
                <w:ilvl w:val="0"/>
                <w:numId w:val="10"/>
              </w:numPr>
              <w:rPr>
                <w:sz w:val="20"/>
                <w:szCs w:val="20"/>
              </w:rPr>
            </w:pPr>
            <w:r w:rsidRPr="003314B0">
              <w:rPr>
                <w:sz w:val="20"/>
                <w:szCs w:val="20"/>
              </w:rPr>
              <w:t>I think this move is entirely positive. Facilities at the proposed site are seen to meet the needs of all stakeholders. The Coatbridge site had its best days sometime in the last century.</w:t>
            </w:r>
          </w:p>
          <w:p w:rsidR="003314B0" w:rsidRPr="003314B0" w:rsidRDefault="003314B0" w:rsidP="002D27C2">
            <w:pPr>
              <w:rPr>
                <w:sz w:val="20"/>
                <w:szCs w:val="20"/>
              </w:rPr>
            </w:pPr>
          </w:p>
          <w:p w:rsidR="003314B0" w:rsidRPr="003314B0" w:rsidRDefault="003314B0" w:rsidP="002D27C2">
            <w:pPr>
              <w:numPr>
                <w:ilvl w:val="0"/>
                <w:numId w:val="10"/>
              </w:numPr>
              <w:rPr>
                <w:sz w:val="20"/>
                <w:szCs w:val="20"/>
              </w:rPr>
            </w:pPr>
            <w:r w:rsidRPr="003314B0">
              <w:rPr>
                <w:sz w:val="20"/>
                <w:szCs w:val="20"/>
              </w:rPr>
              <w:t>Will JPs be able to access car parking at the proposed new premises? Are there facilities for tea / lunch which don’t readily exist at Coatbridge, given that the Court can sit well into the afternoon?</w:t>
            </w:r>
          </w:p>
        </w:tc>
      </w:tr>
      <w:tr w:rsidR="003314B0" w:rsidRPr="003314B0" w:rsidTr="002D27C2">
        <w:tc>
          <w:tcPr>
            <w:tcW w:w="14174" w:type="dxa"/>
            <w:gridSpan w:val="2"/>
            <w:shd w:val="clear" w:color="auto" w:fill="17365D"/>
          </w:tcPr>
          <w:p w:rsidR="003314B0" w:rsidRPr="002D27C2" w:rsidRDefault="003314B0" w:rsidP="002D27C2">
            <w:pPr>
              <w:jc w:val="center"/>
              <w:rPr>
                <w:b/>
                <w:color w:val="FFFFFF"/>
              </w:rPr>
            </w:pPr>
            <w:r w:rsidRPr="002D27C2">
              <w:rPr>
                <w:b/>
                <w:color w:val="FFFFFF"/>
              </w:rPr>
              <w:lastRenderedPageBreak/>
              <w:t>JUSTICE DELIVERY ORGANISATION</w:t>
            </w:r>
            <w:r w:rsidR="0074147A" w:rsidRPr="002D27C2">
              <w:rPr>
                <w:b/>
                <w:color w:val="FFFFFF"/>
              </w:rPr>
              <w:t>S</w:t>
            </w:r>
          </w:p>
          <w:p w:rsidR="003314B0" w:rsidRPr="002D27C2" w:rsidRDefault="003314B0" w:rsidP="002D27C2">
            <w:pPr>
              <w:jc w:val="center"/>
              <w:rPr>
                <w:color w:val="FFFFFF"/>
                <w:sz w:val="16"/>
                <w:szCs w:val="16"/>
              </w:rPr>
            </w:pPr>
          </w:p>
        </w:tc>
      </w:tr>
      <w:tr w:rsidR="003314B0" w:rsidRPr="003314B0" w:rsidTr="00A80EEC">
        <w:tc>
          <w:tcPr>
            <w:tcW w:w="3085" w:type="dxa"/>
            <w:tcBorders>
              <w:bottom w:val="single" w:sz="4" w:space="0" w:color="auto"/>
            </w:tcBorders>
            <w:shd w:val="clear" w:color="auto" w:fill="auto"/>
          </w:tcPr>
          <w:p w:rsidR="003314B0" w:rsidRPr="002D27C2" w:rsidRDefault="003314B0" w:rsidP="00A80EEC">
            <w:pPr>
              <w:rPr>
                <w:b/>
                <w:sz w:val="20"/>
              </w:rPr>
            </w:pPr>
            <w:r w:rsidRPr="002D27C2">
              <w:rPr>
                <w:b/>
                <w:sz w:val="20"/>
              </w:rPr>
              <w:t xml:space="preserve">The impact </w:t>
            </w:r>
            <w:r w:rsidR="00A80EEC">
              <w:rPr>
                <w:b/>
                <w:sz w:val="20"/>
              </w:rPr>
              <w:t xml:space="preserve">a </w:t>
            </w:r>
            <w:r w:rsidRPr="002D27C2">
              <w:rPr>
                <w:b/>
                <w:sz w:val="20"/>
              </w:rPr>
              <w:t>relocation of the Coatbridge JP court will have on your organisation and the services you provide</w:t>
            </w:r>
          </w:p>
        </w:tc>
        <w:tc>
          <w:tcPr>
            <w:tcW w:w="11089" w:type="dxa"/>
            <w:tcBorders>
              <w:bottom w:val="single" w:sz="4" w:space="0" w:color="auto"/>
            </w:tcBorders>
            <w:shd w:val="clear" w:color="auto" w:fill="auto"/>
          </w:tcPr>
          <w:p w:rsidR="003314B0" w:rsidRPr="002D27C2" w:rsidRDefault="003314B0" w:rsidP="002D27C2">
            <w:pPr>
              <w:numPr>
                <w:ilvl w:val="0"/>
                <w:numId w:val="12"/>
              </w:numPr>
              <w:rPr>
                <w:sz w:val="20"/>
                <w:szCs w:val="20"/>
              </w:rPr>
            </w:pPr>
            <w:r w:rsidRPr="002D27C2">
              <w:rPr>
                <w:sz w:val="20"/>
                <w:szCs w:val="20"/>
              </w:rPr>
              <w:t>As the proposed relocation is within the same geographic Police sub-divisional location, this does not present any issues with the services provided by Police. Having both courts located within the same buildings or nearby buildings would enhance the service provided by Police Scotland as this would lessen the instances of abstraction to both current locations where Police staff have business at both Courts. Any requests from Scottish Courts for Police assistance would be logistically more straightforward at one combined location (e.g. Police presence, productions, paperwork)</w:t>
            </w:r>
          </w:p>
          <w:p w:rsidR="003314B0" w:rsidRPr="002D27C2" w:rsidRDefault="003314B0" w:rsidP="002D27C2">
            <w:pPr>
              <w:rPr>
                <w:sz w:val="20"/>
                <w:szCs w:val="20"/>
              </w:rPr>
            </w:pPr>
          </w:p>
          <w:p w:rsidR="003314B0" w:rsidRPr="002D27C2" w:rsidRDefault="003314B0" w:rsidP="002D27C2">
            <w:pPr>
              <w:numPr>
                <w:ilvl w:val="0"/>
                <w:numId w:val="12"/>
              </w:numPr>
              <w:rPr>
                <w:sz w:val="20"/>
                <w:szCs w:val="20"/>
              </w:rPr>
            </w:pPr>
            <w:r w:rsidRPr="002D27C2">
              <w:rPr>
                <w:sz w:val="20"/>
                <w:szCs w:val="20"/>
              </w:rPr>
              <w:t>We anticipate that the proposed relocation would provide significant benefits to our organisation and the service we provide the public and court users. It will simplify and save time and expense in relation to many of the practical issues we currently experience in having the JP court some distance from our office and also from the Sheriff Court. It will also facilitate more of a “justice centre” approach as the Sheriff and JP courts and the PF Office will be more closely located which should improve communication and reduce the movement and the time taken to move productions, papers and persons in custody between the two courts, their cells, our office and the court. Despite strenuous efforts by local SCTS man</w:t>
            </w:r>
            <w:r w:rsidR="00A321B7">
              <w:rPr>
                <w:sz w:val="20"/>
                <w:szCs w:val="20"/>
              </w:rPr>
              <w:t>a</w:t>
            </w:r>
            <w:r w:rsidRPr="002D27C2">
              <w:rPr>
                <w:sz w:val="20"/>
                <w:szCs w:val="20"/>
              </w:rPr>
              <w:t>gers to improve the environment and facilities for all court users and justice partners  within the present Coatbridge JP court building, the present building is an old and overly large one, with a less than optimal internal layout and a decaying fabric. In our view the proposed relocation provides the opportunity to considerably improve the facilities and environment for members of the public and justice partners, including our staff, within the JP court. On a purely practical front as the Procurator Fiscal’s offices and the two courts may in the future be located in very close proximity to each other, some care will require to be taken to ensure clear signposting within the buildings and the provision of separate reception areas for the mutual benefit of</w:t>
            </w:r>
            <w:r w:rsidR="00A321B7">
              <w:rPr>
                <w:sz w:val="20"/>
                <w:szCs w:val="20"/>
              </w:rPr>
              <w:t xml:space="preserve"> the public, and SCTS and COPFS</w:t>
            </w:r>
            <w:r w:rsidRPr="002D27C2">
              <w:rPr>
                <w:sz w:val="20"/>
                <w:szCs w:val="20"/>
              </w:rPr>
              <w:t xml:space="preserve"> reception staff. We anticipate that this ought to be readily achievable.</w:t>
            </w:r>
          </w:p>
        </w:tc>
      </w:tr>
      <w:tr w:rsidR="003314B0" w:rsidRPr="003314B0" w:rsidTr="00A80EEC">
        <w:tc>
          <w:tcPr>
            <w:tcW w:w="3085" w:type="dxa"/>
            <w:tcBorders>
              <w:bottom w:val="single" w:sz="4" w:space="0" w:color="auto"/>
            </w:tcBorders>
            <w:shd w:val="clear" w:color="auto" w:fill="auto"/>
          </w:tcPr>
          <w:p w:rsidR="003314B0" w:rsidRPr="002D27C2" w:rsidRDefault="003314B0" w:rsidP="002D27C2">
            <w:pPr>
              <w:rPr>
                <w:b/>
                <w:sz w:val="20"/>
              </w:rPr>
            </w:pPr>
            <w:r w:rsidRPr="002D27C2">
              <w:rPr>
                <w:b/>
                <w:sz w:val="20"/>
              </w:rPr>
              <w:t>The extent to which the timing of that relocation will have an impact on your organisation and the services you provide</w:t>
            </w:r>
          </w:p>
        </w:tc>
        <w:tc>
          <w:tcPr>
            <w:tcW w:w="11089" w:type="dxa"/>
            <w:tcBorders>
              <w:bottom w:val="single" w:sz="4" w:space="0" w:color="auto"/>
            </w:tcBorders>
            <w:shd w:val="clear" w:color="auto" w:fill="auto"/>
          </w:tcPr>
          <w:p w:rsidR="003314B0" w:rsidRPr="002D27C2" w:rsidRDefault="003314B0" w:rsidP="002D27C2">
            <w:pPr>
              <w:numPr>
                <w:ilvl w:val="0"/>
                <w:numId w:val="11"/>
              </w:numPr>
              <w:rPr>
                <w:sz w:val="20"/>
                <w:szCs w:val="20"/>
              </w:rPr>
            </w:pPr>
            <w:r w:rsidRPr="002D27C2">
              <w:rPr>
                <w:sz w:val="20"/>
                <w:szCs w:val="20"/>
              </w:rPr>
              <w:t>The timing of the proposed</w:t>
            </w:r>
            <w:r w:rsidRPr="002D27C2">
              <w:rPr>
                <w:b/>
                <w:sz w:val="20"/>
                <w:szCs w:val="20"/>
              </w:rPr>
              <w:t xml:space="preserve"> </w:t>
            </w:r>
            <w:r w:rsidRPr="002D27C2">
              <w:rPr>
                <w:sz w:val="20"/>
                <w:szCs w:val="20"/>
              </w:rPr>
              <w:t>relocation has not been disclosed to Police Scotland therefore it is not possible to comment on this.</w:t>
            </w:r>
          </w:p>
          <w:p w:rsidR="003314B0" w:rsidRPr="002D27C2" w:rsidRDefault="003314B0" w:rsidP="002D27C2">
            <w:pPr>
              <w:rPr>
                <w:sz w:val="20"/>
                <w:szCs w:val="20"/>
              </w:rPr>
            </w:pPr>
          </w:p>
          <w:p w:rsidR="003314B0" w:rsidRPr="002D27C2" w:rsidRDefault="003314B0" w:rsidP="002D27C2">
            <w:pPr>
              <w:numPr>
                <w:ilvl w:val="0"/>
                <w:numId w:val="11"/>
              </w:numPr>
              <w:rPr>
                <w:sz w:val="20"/>
                <w:szCs w:val="20"/>
              </w:rPr>
            </w:pPr>
            <w:r w:rsidRPr="002D27C2">
              <w:rPr>
                <w:sz w:val="20"/>
                <w:szCs w:val="20"/>
              </w:rPr>
              <w:t>Our organisation will require sufficient lead in time to ensure the necessary changes to documentation to reflect the change in location, particularly to ensure that citations for accused and witnesses contain the new address. The change in address will also need to be communicated timeously to solicitors and the Law Society and members of the public to ensure defence agents (particularly ones who do not attend the court regularly) and members of the public are aware of the change in location.</w:t>
            </w:r>
            <w:r w:rsidRPr="002D27C2">
              <w:rPr>
                <w:b/>
                <w:sz w:val="20"/>
                <w:szCs w:val="20"/>
              </w:rPr>
              <w:t xml:space="preserve"> </w:t>
            </w:r>
          </w:p>
        </w:tc>
      </w:tr>
      <w:tr w:rsidR="003314B0" w:rsidRPr="003314B0" w:rsidTr="00A80EEC">
        <w:tc>
          <w:tcPr>
            <w:tcW w:w="3085" w:type="dxa"/>
            <w:tcBorders>
              <w:bottom w:val="single" w:sz="4" w:space="0" w:color="auto"/>
            </w:tcBorders>
            <w:shd w:val="clear" w:color="auto" w:fill="auto"/>
          </w:tcPr>
          <w:p w:rsidR="003314B0" w:rsidRPr="003314B0" w:rsidRDefault="003314B0" w:rsidP="002D27C2">
            <w:r w:rsidRPr="002D27C2">
              <w:rPr>
                <w:b/>
                <w:sz w:val="20"/>
              </w:rPr>
              <w:t>Are there any arrangements in the programming of the court business or court facilities you feel needs to be taken account of?</w:t>
            </w:r>
          </w:p>
        </w:tc>
        <w:tc>
          <w:tcPr>
            <w:tcW w:w="11089" w:type="dxa"/>
            <w:tcBorders>
              <w:bottom w:val="single" w:sz="4" w:space="0" w:color="auto"/>
            </w:tcBorders>
            <w:shd w:val="clear" w:color="auto" w:fill="auto"/>
          </w:tcPr>
          <w:p w:rsidR="003314B0" w:rsidRPr="002D27C2" w:rsidRDefault="003314B0" w:rsidP="002D27C2">
            <w:pPr>
              <w:numPr>
                <w:ilvl w:val="0"/>
                <w:numId w:val="13"/>
              </w:numPr>
              <w:rPr>
                <w:sz w:val="20"/>
                <w:szCs w:val="20"/>
              </w:rPr>
            </w:pPr>
            <w:r w:rsidRPr="002D27C2">
              <w:rPr>
                <w:sz w:val="20"/>
                <w:szCs w:val="20"/>
              </w:rPr>
              <w:t>No</w:t>
            </w:r>
          </w:p>
          <w:p w:rsidR="003314B0" w:rsidRPr="002D27C2" w:rsidRDefault="003314B0" w:rsidP="002D27C2">
            <w:pPr>
              <w:rPr>
                <w:sz w:val="20"/>
                <w:szCs w:val="20"/>
              </w:rPr>
            </w:pPr>
          </w:p>
          <w:p w:rsidR="003314B0" w:rsidRPr="002D27C2" w:rsidRDefault="003314B0" w:rsidP="002D27C2">
            <w:pPr>
              <w:numPr>
                <w:ilvl w:val="0"/>
                <w:numId w:val="13"/>
              </w:numPr>
              <w:rPr>
                <w:sz w:val="20"/>
                <w:szCs w:val="20"/>
              </w:rPr>
            </w:pPr>
            <w:r w:rsidRPr="002D27C2">
              <w:rPr>
                <w:sz w:val="20"/>
                <w:szCs w:val="20"/>
              </w:rPr>
              <w:t xml:space="preserve">The movement of accused persons in custody between the JP court in its present location and the cells at the Sheriff court is presently problematic and presently creates inefficiencies in the effective use of court time for all court users, the public and </w:t>
            </w:r>
            <w:r w:rsidRPr="002D27C2">
              <w:rPr>
                <w:sz w:val="20"/>
                <w:szCs w:val="20"/>
              </w:rPr>
              <w:lastRenderedPageBreak/>
              <w:t>justice partners. We anticipate the proposed relocation will improve this situation and that it also provides an opportunity to consider more radical changes in the programming and calling of such cases.</w:t>
            </w:r>
          </w:p>
          <w:p w:rsidR="003314B0" w:rsidRPr="002D27C2" w:rsidRDefault="003314B0" w:rsidP="002D27C2">
            <w:pPr>
              <w:rPr>
                <w:sz w:val="20"/>
                <w:szCs w:val="20"/>
              </w:rPr>
            </w:pPr>
          </w:p>
        </w:tc>
      </w:tr>
      <w:tr w:rsidR="003314B0" w:rsidRPr="003314B0" w:rsidTr="00A80EEC">
        <w:tc>
          <w:tcPr>
            <w:tcW w:w="3085" w:type="dxa"/>
            <w:tcBorders>
              <w:bottom w:val="single" w:sz="4" w:space="0" w:color="auto"/>
            </w:tcBorders>
            <w:shd w:val="clear" w:color="auto" w:fill="auto"/>
          </w:tcPr>
          <w:p w:rsidR="003314B0" w:rsidRPr="002D27C2" w:rsidRDefault="003314B0" w:rsidP="002D27C2">
            <w:pPr>
              <w:rPr>
                <w:b/>
                <w:sz w:val="20"/>
              </w:rPr>
            </w:pPr>
            <w:r w:rsidRPr="002D27C2">
              <w:rPr>
                <w:b/>
                <w:sz w:val="20"/>
              </w:rPr>
              <w:lastRenderedPageBreak/>
              <w:t>Are there any areas where you consider additional or transitional arrangements are required?</w:t>
            </w:r>
          </w:p>
        </w:tc>
        <w:tc>
          <w:tcPr>
            <w:tcW w:w="11089" w:type="dxa"/>
            <w:tcBorders>
              <w:bottom w:val="single" w:sz="4" w:space="0" w:color="auto"/>
            </w:tcBorders>
            <w:shd w:val="clear" w:color="auto" w:fill="auto"/>
          </w:tcPr>
          <w:p w:rsidR="003314B0" w:rsidRPr="002D27C2" w:rsidRDefault="003314B0" w:rsidP="002D27C2">
            <w:pPr>
              <w:numPr>
                <w:ilvl w:val="0"/>
                <w:numId w:val="14"/>
              </w:numPr>
              <w:rPr>
                <w:sz w:val="20"/>
                <w:szCs w:val="20"/>
              </w:rPr>
            </w:pPr>
            <w:r w:rsidRPr="002D27C2">
              <w:rPr>
                <w:sz w:val="20"/>
                <w:szCs w:val="20"/>
              </w:rPr>
              <w:t>No</w:t>
            </w:r>
          </w:p>
          <w:p w:rsidR="003314B0" w:rsidRPr="002D27C2" w:rsidRDefault="003314B0" w:rsidP="002D27C2">
            <w:pPr>
              <w:rPr>
                <w:sz w:val="20"/>
                <w:szCs w:val="20"/>
              </w:rPr>
            </w:pPr>
          </w:p>
          <w:p w:rsidR="003314B0" w:rsidRPr="003314B0" w:rsidRDefault="003314B0" w:rsidP="002D27C2">
            <w:pPr>
              <w:numPr>
                <w:ilvl w:val="0"/>
                <w:numId w:val="14"/>
              </w:numPr>
              <w:rPr>
                <w:sz w:val="20"/>
                <w:szCs w:val="20"/>
              </w:rPr>
            </w:pPr>
            <w:r w:rsidRPr="002D27C2">
              <w:rPr>
                <w:sz w:val="20"/>
                <w:szCs w:val="20"/>
              </w:rPr>
              <w:t xml:space="preserve">The relocation itself, its timing and the planning for the relocation is we think likely to throw up a small number of transitional issues for justice partners. We would be confident that such issues could readily be planned for and managed by a short term joint working group amongst justice partners chaired by SCTS to look at, plan for and help implement the necessary transitional arrangements.     We share an excellent working relationship with our SCTS colleagues and other criminal justice partners in South Strathclyde Dumfries and Galloway and have every confidence that such a group would successfully plan for and manage such transitional issues as arise.  </w:t>
            </w:r>
          </w:p>
        </w:tc>
      </w:tr>
      <w:tr w:rsidR="003314B0" w:rsidRPr="003314B0" w:rsidTr="00A80EEC">
        <w:tc>
          <w:tcPr>
            <w:tcW w:w="3085" w:type="dxa"/>
            <w:tcBorders>
              <w:bottom w:val="single" w:sz="4" w:space="0" w:color="auto"/>
            </w:tcBorders>
            <w:shd w:val="clear" w:color="auto" w:fill="auto"/>
          </w:tcPr>
          <w:p w:rsidR="003314B0" w:rsidRPr="002D27C2" w:rsidRDefault="003314B0" w:rsidP="002D27C2">
            <w:pPr>
              <w:rPr>
                <w:b/>
                <w:sz w:val="20"/>
              </w:rPr>
            </w:pPr>
            <w:r w:rsidRPr="002D27C2">
              <w:rPr>
                <w:b/>
                <w:sz w:val="20"/>
              </w:rPr>
              <w:t>Are there any other matters you wish to raise?</w:t>
            </w:r>
          </w:p>
        </w:tc>
        <w:tc>
          <w:tcPr>
            <w:tcW w:w="11089" w:type="dxa"/>
            <w:tcBorders>
              <w:bottom w:val="single" w:sz="4" w:space="0" w:color="auto"/>
            </w:tcBorders>
            <w:shd w:val="clear" w:color="auto" w:fill="auto"/>
          </w:tcPr>
          <w:p w:rsidR="003314B0" w:rsidRPr="002D27C2" w:rsidRDefault="003314B0" w:rsidP="002D27C2">
            <w:pPr>
              <w:numPr>
                <w:ilvl w:val="0"/>
                <w:numId w:val="15"/>
              </w:numPr>
              <w:rPr>
                <w:sz w:val="20"/>
                <w:szCs w:val="20"/>
              </w:rPr>
            </w:pPr>
            <w:r w:rsidRPr="002D27C2">
              <w:rPr>
                <w:sz w:val="20"/>
                <w:szCs w:val="20"/>
              </w:rPr>
              <w:t>No</w:t>
            </w:r>
          </w:p>
          <w:p w:rsidR="003314B0" w:rsidRPr="002D27C2" w:rsidRDefault="003314B0" w:rsidP="002D27C2">
            <w:pPr>
              <w:rPr>
                <w:sz w:val="20"/>
                <w:szCs w:val="20"/>
              </w:rPr>
            </w:pPr>
          </w:p>
          <w:p w:rsidR="003314B0" w:rsidRPr="003314B0" w:rsidRDefault="003314B0" w:rsidP="002D27C2">
            <w:pPr>
              <w:numPr>
                <w:ilvl w:val="0"/>
                <w:numId w:val="15"/>
              </w:numPr>
              <w:rPr>
                <w:b/>
                <w:sz w:val="20"/>
                <w:szCs w:val="20"/>
              </w:rPr>
            </w:pPr>
            <w:r w:rsidRPr="002D27C2">
              <w:rPr>
                <w:sz w:val="20"/>
                <w:szCs w:val="20"/>
              </w:rPr>
              <w:t>Simply to re-iterate that we see the proposed relocation as a positive one with considerable benefits both for our organisation, other criminal justice partners and members of the public.</w:t>
            </w:r>
            <w:r w:rsidRPr="002D27C2">
              <w:rPr>
                <w:b/>
                <w:sz w:val="20"/>
                <w:szCs w:val="20"/>
              </w:rPr>
              <w:t xml:space="preserve">  </w:t>
            </w:r>
          </w:p>
        </w:tc>
      </w:tr>
      <w:tr w:rsidR="003314B0" w:rsidRPr="003314B0" w:rsidTr="002D27C2">
        <w:tc>
          <w:tcPr>
            <w:tcW w:w="14174" w:type="dxa"/>
            <w:gridSpan w:val="2"/>
            <w:shd w:val="clear" w:color="auto" w:fill="17365D"/>
          </w:tcPr>
          <w:p w:rsidR="003314B0" w:rsidRPr="003314B0" w:rsidRDefault="003314B0" w:rsidP="002D27C2">
            <w:pPr>
              <w:jc w:val="center"/>
              <w:rPr>
                <w:b/>
                <w:sz w:val="20"/>
                <w:szCs w:val="20"/>
              </w:rPr>
            </w:pPr>
            <w:r w:rsidRPr="003314B0">
              <w:rPr>
                <w:b/>
                <w:sz w:val="20"/>
                <w:szCs w:val="20"/>
              </w:rPr>
              <w:t>OTHERS</w:t>
            </w:r>
          </w:p>
        </w:tc>
      </w:tr>
      <w:tr w:rsidR="003314B0" w:rsidRPr="003314B0" w:rsidTr="00A80EEC">
        <w:tc>
          <w:tcPr>
            <w:tcW w:w="3085" w:type="dxa"/>
            <w:shd w:val="clear" w:color="auto" w:fill="auto"/>
          </w:tcPr>
          <w:p w:rsidR="003314B0" w:rsidRPr="002D27C2" w:rsidRDefault="003314B0" w:rsidP="002D27C2">
            <w:pPr>
              <w:rPr>
                <w:b/>
                <w:sz w:val="20"/>
              </w:rPr>
            </w:pPr>
            <w:r w:rsidRPr="002D27C2">
              <w:rPr>
                <w:b/>
                <w:sz w:val="20"/>
              </w:rPr>
              <w:t>The impact of relocation of the Coatbridge JP court will have on your organisation and the services you provide</w:t>
            </w:r>
          </w:p>
        </w:tc>
        <w:tc>
          <w:tcPr>
            <w:tcW w:w="11089" w:type="dxa"/>
            <w:shd w:val="clear" w:color="auto" w:fill="auto"/>
          </w:tcPr>
          <w:p w:rsidR="003314B0" w:rsidRPr="002D27C2" w:rsidRDefault="0074147A" w:rsidP="002D27C2">
            <w:pPr>
              <w:numPr>
                <w:ilvl w:val="0"/>
                <w:numId w:val="19"/>
              </w:numPr>
              <w:autoSpaceDE w:val="0"/>
              <w:autoSpaceDN w:val="0"/>
              <w:adjustRightInd w:val="0"/>
              <w:rPr>
                <w:rFonts w:cs="Calibri"/>
                <w:color w:val="000000"/>
                <w:sz w:val="24"/>
                <w:szCs w:val="24"/>
              </w:rPr>
            </w:pPr>
            <w:r w:rsidRPr="002D27C2">
              <w:rPr>
                <w:rFonts w:cs="Calibri"/>
                <w:color w:val="000000"/>
                <w:sz w:val="20"/>
                <w:szCs w:val="24"/>
              </w:rPr>
              <w:t xml:space="preserve">It will allow </w:t>
            </w:r>
            <w:r w:rsidR="003314B0" w:rsidRPr="002D27C2">
              <w:rPr>
                <w:rFonts w:cs="Calibri"/>
                <w:color w:val="000000"/>
                <w:sz w:val="20"/>
                <w:szCs w:val="24"/>
              </w:rPr>
              <w:t>positively utilise our resources between the Sheriff Court and JP Court</w:t>
            </w:r>
          </w:p>
          <w:tbl>
            <w:tblPr>
              <w:tblW w:w="0" w:type="auto"/>
              <w:tblBorders>
                <w:top w:val="nil"/>
                <w:left w:val="nil"/>
                <w:bottom w:val="nil"/>
                <w:right w:val="nil"/>
              </w:tblBorders>
              <w:tblLook w:val="0000" w:firstRow="0" w:lastRow="0" w:firstColumn="0" w:lastColumn="0" w:noHBand="0" w:noVBand="0"/>
            </w:tblPr>
            <w:tblGrid>
              <w:gridCol w:w="222"/>
            </w:tblGrid>
            <w:tr w:rsidR="003314B0" w:rsidRPr="003314B0" w:rsidTr="002D27C2">
              <w:trPr>
                <w:trHeight w:val="266"/>
              </w:trPr>
              <w:tc>
                <w:tcPr>
                  <w:tcW w:w="0" w:type="auto"/>
                </w:tcPr>
                <w:p w:rsidR="003314B0" w:rsidRPr="003314B0" w:rsidRDefault="003314B0" w:rsidP="00DC47A2">
                  <w:pPr>
                    <w:framePr w:hSpace="180" w:wrap="around" w:hAnchor="margin" w:y="432"/>
                    <w:autoSpaceDE w:val="0"/>
                    <w:autoSpaceDN w:val="0"/>
                    <w:adjustRightInd w:val="0"/>
                    <w:rPr>
                      <w:rFonts w:cs="Calibri"/>
                      <w:color w:val="000000"/>
                    </w:rPr>
                  </w:pPr>
                </w:p>
              </w:tc>
            </w:tr>
          </w:tbl>
          <w:p w:rsidR="003314B0" w:rsidRPr="002D27C2" w:rsidRDefault="003314B0" w:rsidP="002D27C2">
            <w:pPr>
              <w:rPr>
                <w:sz w:val="20"/>
                <w:szCs w:val="20"/>
              </w:rPr>
            </w:pPr>
          </w:p>
        </w:tc>
      </w:tr>
      <w:tr w:rsidR="003314B0" w:rsidRPr="003314B0" w:rsidTr="00A80EEC">
        <w:tc>
          <w:tcPr>
            <w:tcW w:w="3085" w:type="dxa"/>
            <w:shd w:val="clear" w:color="auto" w:fill="auto"/>
          </w:tcPr>
          <w:p w:rsidR="003314B0" w:rsidRPr="002D27C2" w:rsidRDefault="003314B0" w:rsidP="002D27C2">
            <w:pPr>
              <w:rPr>
                <w:b/>
                <w:sz w:val="20"/>
              </w:rPr>
            </w:pPr>
            <w:r w:rsidRPr="002D27C2">
              <w:rPr>
                <w:b/>
                <w:sz w:val="20"/>
              </w:rPr>
              <w:t>The extent to which the timing of that relocation will have an impact on your organisation and the services you provide</w:t>
            </w:r>
          </w:p>
        </w:tc>
        <w:tc>
          <w:tcPr>
            <w:tcW w:w="11089" w:type="dxa"/>
            <w:shd w:val="clear" w:color="auto" w:fill="auto"/>
          </w:tcPr>
          <w:p w:rsidR="003314B0" w:rsidRPr="002D27C2" w:rsidRDefault="003314B0" w:rsidP="002D27C2">
            <w:pPr>
              <w:numPr>
                <w:ilvl w:val="0"/>
                <w:numId w:val="18"/>
              </w:numPr>
              <w:rPr>
                <w:sz w:val="20"/>
                <w:szCs w:val="20"/>
              </w:rPr>
            </w:pPr>
            <w:r w:rsidRPr="002D27C2">
              <w:rPr>
                <w:sz w:val="20"/>
                <w:szCs w:val="20"/>
              </w:rPr>
              <w:t>We welcome the new facilities at the earliest time possible</w:t>
            </w:r>
          </w:p>
        </w:tc>
      </w:tr>
      <w:tr w:rsidR="003314B0" w:rsidRPr="003314B0" w:rsidTr="00A80EEC">
        <w:tc>
          <w:tcPr>
            <w:tcW w:w="3085" w:type="dxa"/>
            <w:shd w:val="clear" w:color="auto" w:fill="auto"/>
          </w:tcPr>
          <w:p w:rsidR="003314B0" w:rsidRPr="002D27C2" w:rsidRDefault="003314B0" w:rsidP="002D27C2">
            <w:pPr>
              <w:rPr>
                <w:sz w:val="20"/>
              </w:rPr>
            </w:pPr>
            <w:r w:rsidRPr="002D27C2">
              <w:rPr>
                <w:b/>
                <w:sz w:val="20"/>
              </w:rPr>
              <w:t>Are there any arrangements in the programming of the court business or court facilities you feel needs to be taken account of?</w:t>
            </w:r>
          </w:p>
        </w:tc>
        <w:tc>
          <w:tcPr>
            <w:tcW w:w="11089" w:type="dxa"/>
            <w:shd w:val="clear" w:color="auto" w:fill="auto"/>
          </w:tcPr>
          <w:p w:rsidR="003314B0" w:rsidRPr="002D27C2" w:rsidRDefault="003314B0" w:rsidP="002D27C2">
            <w:pPr>
              <w:numPr>
                <w:ilvl w:val="0"/>
                <w:numId w:val="16"/>
              </w:numPr>
              <w:rPr>
                <w:sz w:val="20"/>
                <w:szCs w:val="20"/>
              </w:rPr>
            </w:pPr>
            <w:r w:rsidRPr="002D27C2">
              <w:rPr>
                <w:sz w:val="20"/>
                <w:szCs w:val="20"/>
              </w:rPr>
              <w:t xml:space="preserve">The introduction of the video link from the new JP court is very welcome and it particularly apt in relation </w:t>
            </w:r>
            <w:proofErr w:type="gramStart"/>
            <w:r w:rsidRPr="002D27C2">
              <w:rPr>
                <w:sz w:val="20"/>
                <w:szCs w:val="20"/>
              </w:rPr>
              <w:t>The  Scottish</w:t>
            </w:r>
            <w:proofErr w:type="gramEnd"/>
            <w:r w:rsidRPr="002D27C2">
              <w:rPr>
                <w:sz w:val="20"/>
                <w:szCs w:val="20"/>
              </w:rPr>
              <w:t xml:space="preserve"> Parliament’s Justice Committee recent call for evidence on the Scottish Government’s Vulnerable Witnesses and Criminal Evidence Bill. </w:t>
            </w:r>
          </w:p>
          <w:p w:rsidR="003314B0" w:rsidRPr="002D27C2" w:rsidRDefault="003314B0" w:rsidP="002D27C2">
            <w:pPr>
              <w:rPr>
                <w:sz w:val="20"/>
                <w:szCs w:val="20"/>
              </w:rPr>
            </w:pPr>
          </w:p>
          <w:p w:rsidR="003314B0" w:rsidRPr="002D27C2" w:rsidRDefault="003314B0" w:rsidP="002D27C2">
            <w:pPr>
              <w:numPr>
                <w:ilvl w:val="0"/>
                <w:numId w:val="16"/>
              </w:numPr>
              <w:rPr>
                <w:sz w:val="20"/>
                <w:szCs w:val="20"/>
              </w:rPr>
            </w:pPr>
            <w:r w:rsidRPr="002D27C2">
              <w:rPr>
                <w:sz w:val="20"/>
                <w:szCs w:val="20"/>
              </w:rPr>
              <w:t>The intention of the Bill is to provide vulnerable witnesses and victims of crime with a less traumatic experience of the criminal justice system in Scotland. It is hoped that greater use of ore-recorded evidence will elicit more effective evidence and improve the justice system as a whole.</w:t>
            </w:r>
          </w:p>
          <w:p w:rsidR="003314B0" w:rsidRPr="002D27C2" w:rsidRDefault="003314B0" w:rsidP="002D27C2">
            <w:pPr>
              <w:rPr>
                <w:sz w:val="20"/>
                <w:szCs w:val="20"/>
              </w:rPr>
            </w:pPr>
          </w:p>
          <w:p w:rsidR="003314B0" w:rsidRPr="002D27C2" w:rsidRDefault="003314B0" w:rsidP="002D27C2">
            <w:pPr>
              <w:numPr>
                <w:ilvl w:val="0"/>
                <w:numId w:val="16"/>
              </w:numPr>
              <w:rPr>
                <w:sz w:val="20"/>
                <w:szCs w:val="20"/>
              </w:rPr>
            </w:pPr>
            <w:r w:rsidRPr="002D27C2">
              <w:rPr>
                <w:sz w:val="20"/>
                <w:szCs w:val="20"/>
              </w:rPr>
              <w:t>The changes will include wider use of pre-recorded statements and evidence for vulnerable witnesses in criminal cases with an initial focus on child witnesses in the most serious cases.</w:t>
            </w:r>
          </w:p>
          <w:p w:rsidR="003314B0" w:rsidRPr="002D27C2" w:rsidRDefault="003314B0" w:rsidP="002D27C2">
            <w:pPr>
              <w:rPr>
                <w:sz w:val="20"/>
                <w:szCs w:val="20"/>
              </w:rPr>
            </w:pPr>
          </w:p>
          <w:p w:rsidR="003314B0" w:rsidRPr="002D27C2" w:rsidRDefault="003314B0" w:rsidP="00DC6AB1">
            <w:pPr>
              <w:numPr>
                <w:ilvl w:val="0"/>
                <w:numId w:val="16"/>
              </w:numPr>
              <w:rPr>
                <w:sz w:val="20"/>
                <w:szCs w:val="20"/>
              </w:rPr>
            </w:pPr>
            <w:r w:rsidRPr="002D27C2">
              <w:rPr>
                <w:sz w:val="20"/>
                <w:szCs w:val="20"/>
              </w:rPr>
              <w:t xml:space="preserve">Therefore, we would particularly welcome the opportunity to be consulted on the facilities for vulnerable witnesses and </w:t>
            </w:r>
            <w:r w:rsidRPr="002D27C2">
              <w:rPr>
                <w:sz w:val="20"/>
                <w:szCs w:val="20"/>
              </w:rPr>
              <w:lastRenderedPageBreak/>
              <w:t>their supporters especially as it will help facilitate future legislative changes.</w:t>
            </w:r>
          </w:p>
        </w:tc>
      </w:tr>
      <w:tr w:rsidR="003314B0" w:rsidRPr="003314B0" w:rsidTr="00A80EEC">
        <w:tc>
          <w:tcPr>
            <w:tcW w:w="3085" w:type="dxa"/>
            <w:shd w:val="clear" w:color="auto" w:fill="auto"/>
          </w:tcPr>
          <w:p w:rsidR="003314B0" w:rsidRPr="002D27C2" w:rsidRDefault="003314B0" w:rsidP="002D27C2">
            <w:pPr>
              <w:rPr>
                <w:b/>
                <w:sz w:val="20"/>
              </w:rPr>
            </w:pPr>
            <w:r w:rsidRPr="002D27C2">
              <w:rPr>
                <w:b/>
                <w:sz w:val="20"/>
              </w:rPr>
              <w:lastRenderedPageBreak/>
              <w:t>Are there any areas where you consider additional or transitional arrangements are required?</w:t>
            </w:r>
          </w:p>
        </w:tc>
        <w:tc>
          <w:tcPr>
            <w:tcW w:w="11089" w:type="dxa"/>
            <w:shd w:val="clear" w:color="auto" w:fill="auto"/>
          </w:tcPr>
          <w:p w:rsidR="003314B0" w:rsidRPr="003314B0" w:rsidRDefault="003314B0" w:rsidP="002D27C2">
            <w:pPr>
              <w:numPr>
                <w:ilvl w:val="0"/>
                <w:numId w:val="17"/>
              </w:numPr>
              <w:rPr>
                <w:sz w:val="20"/>
                <w:szCs w:val="20"/>
              </w:rPr>
            </w:pPr>
            <w:r w:rsidRPr="002D27C2">
              <w:rPr>
                <w:sz w:val="20"/>
                <w:szCs w:val="20"/>
              </w:rPr>
              <w:t>We would ask that our partners VIA &amp; COPFS are fully consulted to ensure vulnerable witnesses are cited for the correct court location during the transition period</w:t>
            </w:r>
          </w:p>
        </w:tc>
      </w:tr>
      <w:tr w:rsidR="003314B0" w:rsidRPr="003314B0" w:rsidTr="00A80EEC">
        <w:tc>
          <w:tcPr>
            <w:tcW w:w="3085" w:type="dxa"/>
            <w:tcBorders>
              <w:bottom w:val="single" w:sz="4" w:space="0" w:color="auto"/>
            </w:tcBorders>
            <w:shd w:val="clear" w:color="auto" w:fill="auto"/>
          </w:tcPr>
          <w:p w:rsidR="003314B0" w:rsidRPr="002D27C2" w:rsidRDefault="003314B0" w:rsidP="002D27C2">
            <w:pPr>
              <w:rPr>
                <w:b/>
                <w:sz w:val="20"/>
              </w:rPr>
            </w:pPr>
            <w:r w:rsidRPr="002D27C2">
              <w:rPr>
                <w:b/>
                <w:sz w:val="20"/>
              </w:rPr>
              <w:t>Are there any other matters you wish to raise?</w:t>
            </w:r>
          </w:p>
        </w:tc>
        <w:tc>
          <w:tcPr>
            <w:tcW w:w="11089" w:type="dxa"/>
            <w:tcBorders>
              <w:bottom w:val="single" w:sz="4" w:space="0" w:color="auto"/>
            </w:tcBorders>
            <w:shd w:val="clear" w:color="auto" w:fill="auto"/>
          </w:tcPr>
          <w:p w:rsidR="003314B0" w:rsidRPr="003314B0" w:rsidRDefault="003314B0" w:rsidP="002D27C2">
            <w:pPr>
              <w:rPr>
                <w:sz w:val="20"/>
                <w:szCs w:val="20"/>
              </w:rPr>
            </w:pPr>
            <w:r w:rsidRPr="002D27C2">
              <w:rPr>
                <w:sz w:val="20"/>
                <w:szCs w:val="20"/>
              </w:rPr>
              <w:t>N/A</w:t>
            </w:r>
          </w:p>
          <w:p w:rsidR="003314B0" w:rsidRPr="003314B0" w:rsidRDefault="003314B0" w:rsidP="002D27C2">
            <w:pPr>
              <w:rPr>
                <w:sz w:val="20"/>
                <w:szCs w:val="20"/>
              </w:rPr>
            </w:pPr>
          </w:p>
          <w:p w:rsidR="003314B0" w:rsidRPr="003314B0" w:rsidRDefault="003314B0" w:rsidP="002D27C2">
            <w:pPr>
              <w:rPr>
                <w:sz w:val="20"/>
                <w:szCs w:val="20"/>
              </w:rPr>
            </w:pPr>
          </w:p>
          <w:p w:rsidR="003314B0" w:rsidRPr="003314B0" w:rsidRDefault="003314B0" w:rsidP="002D27C2">
            <w:pPr>
              <w:rPr>
                <w:sz w:val="20"/>
                <w:szCs w:val="20"/>
              </w:rPr>
            </w:pPr>
          </w:p>
        </w:tc>
      </w:tr>
    </w:tbl>
    <w:p w:rsidR="003314B0" w:rsidRPr="003314B0" w:rsidRDefault="003314B0" w:rsidP="003314B0">
      <w:pPr>
        <w:spacing w:after="200" w:line="276" w:lineRule="auto"/>
      </w:pPr>
    </w:p>
    <w:p w:rsidR="006F20E2" w:rsidRPr="00EA0B0A" w:rsidRDefault="006F20E2" w:rsidP="009A1D1E">
      <w:pPr>
        <w:rPr>
          <w:rFonts w:ascii="Arial" w:hAnsi="Arial" w:cs="Arial"/>
          <w:b/>
        </w:rPr>
      </w:pPr>
    </w:p>
    <w:sectPr w:rsidR="006F20E2" w:rsidRPr="00EA0B0A" w:rsidSect="006D6501">
      <w:pgSz w:w="16838" w:h="11906" w:orient="landscape"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24" w:rsidRDefault="000D3B24" w:rsidP="00DE3771">
      <w:r>
        <w:separator/>
      </w:r>
    </w:p>
  </w:endnote>
  <w:endnote w:type="continuationSeparator" w:id="0">
    <w:p w:rsidR="000D3B24" w:rsidRDefault="000D3B24" w:rsidP="00DE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25939"/>
      <w:docPartObj>
        <w:docPartGallery w:val="Page Numbers (Bottom of Page)"/>
        <w:docPartUnique/>
      </w:docPartObj>
    </w:sdtPr>
    <w:sdtEndPr>
      <w:rPr>
        <w:i/>
        <w:noProof/>
        <w:sz w:val="20"/>
        <w:szCs w:val="20"/>
      </w:rPr>
    </w:sdtEndPr>
    <w:sdtContent>
      <w:p w:rsidR="00DC6AB1" w:rsidRPr="00DC6AB1" w:rsidRDefault="00DC6AB1" w:rsidP="00DC6AB1">
        <w:pPr>
          <w:pStyle w:val="NoSpacing"/>
          <w:jc w:val="center"/>
          <w:rPr>
            <w:i/>
            <w:sz w:val="20"/>
            <w:szCs w:val="20"/>
          </w:rPr>
        </w:pPr>
        <w:r w:rsidRPr="00DC6AB1">
          <w:rPr>
            <w:i/>
            <w:sz w:val="20"/>
            <w:szCs w:val="20"/>
          </w:rPr>
          <w:fldChar w:fldCharType="begin"/>
        </w:r>
        <w:r w:rsidRPr="00DC6AB1">
          <w:rPr>
            <w:i/>
            <w:sz w:val="20"/>
            <w:szCs w:val="20"/>
          </w:rPr>
          <w:instrText xml:space="preserve"> PAGE   \* MERGEFORMAT </w:instrText>
        </w:r>
        <w:r w:rsidRPr="00DC6AB1">
          <w:rPr>
            <w:i/>
            <w:sz w:val="20"/>
            <w:szCs w:val="20"/>
          </w:rPr>
          <w:fldChar w:fldCharType="separate"/>
        </w:r>
        <w:r w:rsidR="00DC47A2">
          <w:rPr>
            <w:i/>
            <w:noProof/>
            <w:sz w:val="20"/>
            <w:szCs w:val="20"/>
          </w:rPr>
          <w:t>3</w:t>
        </w:r>
        <w:r w:rsidRPr="00DC6AB1">
          <w:rPr>
            <w:i/>
            <w:noProof/>
            <w:sz w:val="20"/>
            <w:szCs w:val="20"/>
          </w:rPr>
          <w:fldChar w:fldCharType="end"/>
        </w:r>
      </w:p>
    </w:sdtContent>
  </w:sdt>
  <w:p w:rsidR="000B09BE" w:rsidRPr="00DC6AB1" w:rsidRDefault="000B09BE" w:rsidP="00DC6AB1">
    <w:pPr>
      <w:pStyle w:val="NoSpacing"/>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24" w:rsidRDefault="000D3B24" w:rsidP="00DE3771">
      <w:r>
        <w:separator/>
      </w:r>
    </w:p>
  </w:footnote>
  <w:footnote w:type="continuationSeparator" w:id="0">
    <w:p w:rsidR="000D3B24" w:rsidRDefault="000D3B24" w:rsidP="00DE3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48" w:rsidRPr="00B473C4" w:rsidRDefault="00CB2E48" w:rsidP="00CB2E48">
    <w:pPr>
      <w:pStyle w:val="Header"/>
      <w:jc w:val="center"/>
      <w:rPr>
        <w:rFonts w:ascii="Arial" w:hAnsi="Arial" w:cs="Arial"/>
        <w:i/>
      </w:rPr>
    </w:pPr>
    <w:r w:rsidRPr="00B473C4">
      <w:rPr>
        <w:rFonts w:ascii="Arial" w:hAnsi="Arial" w:cs="Arial"/>
        <w:i/>
      </w:rPr>
      <w:t>Response to Consult</w:t>
    </w:r>
    <w:r w:rsidR="003F6054" w:rsidRPr="00B473C4">
      <w:rPr>
        <w:rFonts w:ascii="Arial" w:hAnsi="Arial" w:cs="Arial"/>
        <w:i/>
      </w:rPr>
      <w:t xml:space="preserve">ation: Relocation of </w:t>
    </w:r>
    <w:r w:rsidRPr="00B473C4">
      <w:rPr>
        <w:rFonts w:ascii="Arial" w:hAnsi="Arial" w:cs="Arial"/>
        <w:i/>
      </w:rPr>
      <w:t>JP Court</w:t>
    </w:r>
  </w:p>
  <w:p w:rsidR="00CB2E48" w:rsidRDefault="00CB2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21" w:rsidRDefault="008F1621">
    <w:pPr>
      <w:pStyle w:val="Header"/>
    </w:pPr>
  </w:p>
  <w:p w:rsidR="00A0204A" w:rsidRDefault="00A0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E04"/>
    <w:multiLevelType w:val="hybridMultilevel"/>
    <w:tmpl w:val="C402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009B1"/>
    <w:multiLevelType w:val="hybridMultilevel"/>
    <w:tmpl w:val="E156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81C08"/>
    <w:multiLevelType w:val="hybridMultilevel"/>
    <w:tmpl w:val="0848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A5E98"/>
    <w:multiLevelType w:val="hybridMultilevel"/>
    <w:tmpl w:val="53E0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4B0CAA"/>
    <w:multiLevelType w:val="hybridMultilevel"/>
    <w:tmpl w:val="FF48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75D65"/>
    <w:multiLevelType w:val="hybridMultilevel"/>
    <w:tmpl w:val="720A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66396"/>
    <w:multiLevelType w:val="hybridMultilevel"/>
    <w:tmpl w:val="8B70C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011007"/>
    <w:multiLevelType w:val="hybridMultilevel"/>
    <w:tmpl w:val="36D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732E76"/>
    <w:multiLevelType w:val="hybridMultilevel"/>
    <w:tmpl w:val="4A5A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444FD6"/>
    <w:multiLevelType w:val="hybridMultilevel"/>
    <w:tmpl w:val="1B7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6618C8"/>
    <w:multiLevelType w:val="hybridMultilevel"/>
    <w:tmpl w:val="D3AA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607B6"/>
    <w:multiLevelType w:val="hybridMultilevel"/>
    <w:tmpl w:val="05B8A1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53FC2B58"/>
    <w:multiLevelType w:val="hybridMultilevel"/>
    <w:tmpl w:val="060E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8602F"/>
    <w:multiLevelType w:val="hybridMultilevel"/>
    <w:tmpl w:val="E0DA89E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4">
    <w:nsid w:val="597770E7"/>
    <w:multiLevelType w:val="hybridMultilevel"/>
    <w:tmpl w:val="471A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9C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2F0680"/>
    <w:multiLevelType w:val="hybridMultilevel"/>
    <w:tmpl w:val="1B9A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296D39"/>
    <w:multiLevelType w:val="hybridMultilevel"/>
    <w:tmpl w:val="CD28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256B98"/>
    <w:multiLevelType w:val="hybridMultilevel"/>
    <w:tmpl w:val="C3DC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E13BB4"/>
    <w:multiLevelType w:val="hybridMultilevel"/>
    <w:tmpl w:val="57B0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4315A1"/>
    <w:multiLevelType w:val="hybridMultilevel"/>
    <w:tmpl w:val="D20CA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6"/>
  </w:num>
  <w:num w:numId="4">
    <w:abstractNumId w:val="8"/>
  </w:num>
  <w:num w:numId="5">
    <w:abstractNumId w:val="2"/>
  </w:num>
  <w:num w:numId="6">
    <w:abstractNumId w:val="9"/>
  </w:num>
  <w:num w:numId="7">
    <w:abstractNumId w:val="0"/>
  </w:num>
  <w:num w:numId="8">
    <w:abstractNumId w:val="17"/>
  </w:num>
  <w:num w:numId="9">
    <w:abstractNumId w:val="4"/>
  </w:num>
  <w:num w:numId="10">
    <w:abstractNumId w:val="19"/>
  </w:num>
  <w:num w:numId="11">
    <w:abstractNumId w:val="3"/>
  </w:num>
  <w:num w:numId="12">
    <w:abstractNumId w:val="12"/>
  </w:num>
  <w:num w:numId="13">
    <w:abstractNumId w:val="5"/>
  </w:num>
  <w:num w:numId="14">
    <w:abstractNumId w:val="18"/>
  </w:num>
  <w:num w:numId="15">
    <w:abstractNumId w:val="1"/>
  </w:num>
  <w:num w:numId="16">
    <w:abstractNumId w:val="16"/>
  </w:num>
  <w:num w:numId="17">
    <w:abstractNumId w:val="10"/>
  </w:num>
  <w:num w:numId="18">
    <w:abstractNumId w:val="14"/>
  </w:num>
  <w:num w:numId="19">
    <w:abstractNumId w:val="7"/>
  </w:num>
  <w:num w:numId="20">
    <w:abstractNumId w:val="11"/>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1"/>
    <w:rsid w:val="0000262F"/>
    <w:rsid w:val="00003B2C"/>
    <w:rsid w:val="00010C65"/>
    <w:rsid w:val="000115D7"/>
    <w:rsid w:val="0003007B"/>
    <w:rsid w:val="0003581C"/>
    <w:rsid w:val="00041F1A"/>
    <w:rsid w:val="000434BB"/>
    <w:rsid w:val="00044AD7"/>
    <w:rsid w:val="000500DF"/>
    <w:rsid w:val="00066D91"/>
    <w:rsid w:val="00070615"/>
    <w:rsid w:val="000726D6"/>
    <w:rsid w:val="00077728"/>
    <w:rsid w:val="000809BD"/>
    <w:rsid w:val="00085315"/>
    <w:rsid w:val="00086891"/>
    <w:rsid w:val="00087368"/>
    <w:rsid w:val="000915D3"/>
    <w:rsid w:val="00095D16"/>
    <w:rsid w:val="000A7AE6"/>
    <w:rsid w:val="000B09BE"/>
    <w:rsid w:val="000C6015"/>
    <w:rsid w:val="000D3B24"/>
    <w:rsid w:val="000D4FD6"/>
    <w:rsid w:val="000E2D1A"/>
    <w:rsid w:val="000E5B43"/>
    <w:rsid w:val="000E6F2E"/>
    <w:rsid w:val="000F5AA6"/>
    <w:rsid w:val="00116B12"/>
    <w:rsid w:val="0012412D"/>
    <w:rsid w:val="00124379"/>
    <w:rsid w:val="00127A21"/>
    <w:rsid w:val="001324A5"/>
    <w:rsid w:val="00132759"/>
    <w:rsid w:val="001341AC"/>
    <w:rsid w:val="00134E86"/>
    <w:rsid w:val="001352B1"/>
    <w:rsid w:val="0013642F"/>
    <w:rsid w:val="00136CC3"/>
    <w:rsid w:val="00141944"/>
    <w:rsid w:val="00145E78"/>
    <w:rsid w:val="001469FF"/>
    <w:rsid w:val="001569F7"/>
    <w:rsid w:val="001575DE"/>
    <w:rsid w:val="00163316"/>
    <w:rsid w:val="00163C28"/>
    <w:rsid w:val="00172407"/>
    <w:rsid w:val="00172E72"/>
    <w:rsid w:val="00180660"/>
    <w:rsid w:val="00181780"/>
    <w:rsid w:val="001844C6"/>
    <w:rsid w:val="0018524F"/>
    <w:rsid w:val="00185DD1"/>
    <w:rsid w:val="00190754"/>
    <w:rsid w:val="001943D4"/>
    <w:rsid w:val="001A23DD"/>
    <w:rsid w:val="001A68CD"/>
    <w:rsid w:val="001B475F"/>
    <w:rsid w:val="001C3354"/>
    <w:rsid w:val="001C46BE"/>
    <w:rsid w:val="001C572C"/>
    <w:rsid w:val="001C77F8"/>
    <w:rsid w:val="001D1D1B"/>
    <w:rsid w:val="001D405F"/>
    <w:rsid w:val="001D6A3B"/>
    <w:rsid w:val="001E24A9"/>
    <w:rsid w:val="001E5066"/>
    <w:rsid w:val="001E6C9E"/>
    <w:rsid w:val="001F34C3"/>
    <w:rsid w:val="001F5EE5"/>
    <w:rsid w:val="00201E73"/>
    <w:rsid w:val="00202C5A"/>
    <w:rsid w:val="00213F5A"/>
    <w:rsid w:val="00214169"/>
    <w:rsid w:val="00216BFA"/>
    <w:rsid w:val="0021772F"/>
    <w:rsid w:val="0022065C"/>
    <w:rsid w:val="00220F50"/>
    <w:rsid w:val="00231002"/>
    <w:rsid w:val="00231850"/>
    <w:rsid w:val="00237671"/>
    <w:rsid w:val="0025746C"/>
    <w:rsid w:val="00260EB6"/>
    <w:rsid w:val="00261179"/>
    <w:rsid w:val="002633E3"/>
    <w:rsid w:val="00265B5C"/>
    <w:rsid w:val="00266DFA"/>
    <w:rsid w:val="00273FCD"/>
    <w:rsid w:val="00274E2D"/>
    <w:rsid w:val="00280357"/>
    <w:rsid w:val="002826CB"/>
    <w:rsid w:val="0028634B"/>
    <w:rsid w:val="00293DB4"/>
    <w:rsid w:val="002A6A6E"/>
    <w:rsid w:val="002B74CD"/>
    <w:rsid w:val="002B7ACE"/>
    <w:rsid w:val="002C0C38"/>
    <w:rsid w:val="002C30B1"/>
    <w:rsid w:val="002D27C2"/>
    <w:rsid w:val="002D5936"/>
    <w:rsid w:val="002D5FC9"/>
    <w:rsid w:val="002E6FAD"/>
    <w:rsid w:val="002E7E54"/>
    <w:rsid w:val="002F18D5"/>
    <w:rsid w:val="002F2B9F"/>
    <w:rsid w:val="002F3298"/>
    <w:rsid w:val="002F6538"/>
    <w:rsid w:val="00301C58"/>
    <w:rsid w:val="00301F47"/>
    <w:rsid w:val="00305FE2"/>
    <w:rsid w:val="00311018"/>
    <w:rsid w:val="00322018"/>
    <w:rsid w:val="00324605"/>
    <w:rsid w:val="003314B0"/>
    <w:rsid w:val="00332779"/>
    <w:rsid w:val="003351E4"/>
    <w:rsid w:val="00336046"/>
    <w:rsid w:val="003401D7"/>
    <w:rsid w:val="00341B9D"/>
    <w:rsid w:val="00343265"/>
    <w:rsid w:val="00361901"/>
    <w:rsid w:val="00364EC2"/>
    <w:rsid w:val="0037556C"/>
    <w:rsid w:val="00376020"/>
    <w:rsid w:val="0037660C"/>
    <w:rsid w:val="003824A8"/>
    <w:rsid w:val="00382BAE"/>
    <w:rsid w:val="00390183"/>
    <w:rsid w:val="003917EA"/>
    <w:rsid w:val="00393978"/>
    <w:rsid w:val="00395FA8"/>
    <w:rsid w:val="003A46CF"/>
    <w:rsid w:val="003B15A5"/>
    <w:rsid w:val="003C03C4"/>
    <w:rsid w:val="003D3E93"/>
    <w:rsid w:val="003D67ED"/>
    <w:rsid w:val="003E0183"/>
    <w:rsid w:val="003E07B2"/>
    <w:rsid w:val="003E34C5"/>
    <w:rsid w:val="003F3B7B"/>
    <w:rsid w:val="003F6054"/>
    <w:rsid w:val="003F79A4"/>
    <w:rsid w:val="00402569"/>
    <w:rsid w:val="00405731"/>
    <w:rsid w:val="00406136"/>
    <w:rsid w:val="00416339"/>
    <w:rsid w:val="004206C6"/>
    <w:rsid w:val="00420D7B"/>
    <w:rsid w:val="00426602"/>
    <w:rsid w:val="00435BA3"/>
    <w:rsid w:val="00442B0A"/>
    <w:rsid w:val="004515C8"/>
    <w:rsid w:val="00453B67"/>
    <w:rsid w:val="00453CDA"/>
    <w:rsid w:val="00456712"/>
    <w:rsid w:val="004745D6"/>
    <w:rsid w:val="004756FF"/>
    <w:rsid w:val="0047589D"/>
    <w:rsid w:val="00476781"/>
    <w:rsid w:val="00477122"/>
    <w:rsid w:val="00484F77"/>
    <w:rsid w:val="00486110"/>
    <w:rsid w:val="00491DE1"/>
    <w:rsid w:val="004926F9"/>
    <w:rsid w:val="004A2680"/>
    <w:rsid w:val="004A45EE"/>
    <w:rsid w:val="004A5321"/>
    <w:rsid w:val="004A6216"/>
    <w:rsid w:val="004B0FC3"/>
    <w:rsid w:val="004B21E3"/>
    <w:rsid w:val="004B5957"/>
    <w:rsid w:val="004B6AFA"/>
    <w:rsid w:val="004C052F"/>
    <w:rsid w:val="004C4379"/>
    <w:rsid w:val="004D1A9C"/>
    <w:rsid w:val="004D4037"/>
    <w:rsid w:val="004D7431"/>
    <w:rsid w:val="004E45B8"/>
    <w:rsid w:val="004E77DB"/>
    <w:rsid w:val="004F0B58"/>
    <w:rsid w:val="004F6C33"/>
    <w:rsid w:val="00500354"/>
    <w:rsid w:val="0050193B"/>
    <w:rsid w:val="0050344F"/>
    <w:rsid w:val="00505694"/>
    <w:rsid w:val="00506A16"/>
    <w:rsid w:val="005070F0"/>
    <w:rsid w:val="00511586"/>
    <w:rsid w:val="0051642E"/>
    <w:rsid w:val="00521677"/>
    <w:rsid w:val="00524BED"/>
    <w:rsid w:val="00525838"/>
    <w:rsid w:val="00530562"/>
    <w:rsid w:val="005312E4"/>
    <w:rsid w:val="00533061"/>
    <w:rsid w:val="005339AA"/>
    <w:rsid w:val="00534A8B"/>
    <w:rsid w:val="005374F0"/>
    <w:rsid w:val="0054114E"/>
    <w:rsid w:val="00541B19"/>
    <w:rsid w:val="00542A4C"/>
    <w:rsid w:val="00542D8A"/>
    <w:rsid w:val="00546225"/>
    <w:rsid w:val="00552A6B"/>
    <w:rsid w:val="005548C3"/>
    <w:rsid w:val="00557082"/>
    <w:rsid w:val="005641A1"/>
    <w:rsid w:val="00566E97"/>
    <w:rsid w:val="00573338"/>
    <w:rsid w:val="00576C8A"/>
    <w:rsid w:val="005802EF"/>
    <w:rsid w:val="00583D77"/>
    <w:rsid w:val="00584170"/>
    <w:rsid w:val="00587FDC"/>
    <w:rsid w:val="005910CB"/>
    <w:rsid w:val="005945E9"/>
    <w:rsid w:val="005A10A3"/>
    <w:rsid w:val="005A40A6"/>
    <w:rsid w:val="005B2C73"/>
    <w:rsid w:val="005B3425"/>
    <w:rsid w:val="005B39CC"/>
    <w:rsid w:val="005B4DD6"/>
    <w:rsid w:val="005C2574"/>
    <w:rsid w:val="005C64CD"/>
    <w:rsid w:val="005D1082"/>
    <w:rsid w:val="005D2748"/>
    <w:rsid w:val="005D2829"/>
    <w:rsid w:val="005D57AA"/>
    <w:rsid w:val="005D5AFC"/>
    <w:rsid w:val="005D5B6F"/>
    <w:rsid w:val="005E5343"/>
    <w:rsid w:val="005E5CC2"/>
    <w:rsid w:val="005E69DD"/>
    <w:rsid w:val="005E6B1C"/>
    <w:rsid w:val="005F2FF3"/>
    <w:rsid w:val="005F6AF6"/>
    <w:rsid w:val="00600ECA"/>
    <w:rsid w:val="0060605B"/>
    <w:rsid w:val="00611485"/>
    <w:rsid w:val="00615AE5"/>
    <w:rsid w:val="00616DCD"/>
    <w:rsid w:val="006173C3"/>
    <w:rsid w:val="006206EA"/>
    <w:rsid w:val="006223AF"/>
    <w:rsid w:val="00627654"/>
    <w:rsid w:val="006307C4"/>
    <w:rsid w:val="0063539F"/>
    <w:rsid w:val="00635A60"/>
    <w:rsid w:val="0063720A"/>
    <w:rsid w:val="00641AC0"/>
    <w:rsid w:val="00646BB9"/>
    <w:rsid w:val="006515AA"/>
    <w:rsid w:val="00655259"/>
    <w:rsid w:val="0066236F"/>
    <w:rsid w:val="00662A90"/>
    <w:rsid w:val="0066489D"/>
    <w:rsid w:val="00664B4C"/>
    <w:rsid w:val="00673D49"/>
    <w:rsid w:val="00674E7E"/>
    <w:rsid w:val="006752D5"/>
    <w:rsid w:val="00677E6B"/>
    <w:rsid w:val="00682B54"/>
    <w:rsid w:val="00693A66"/>
    <w:rsid w:val="00694F62"/>
    <w:rsid w:val="006958E5"/>
    <w:rsid w:val="00697720"/>
    <w:rsid w:val="006A1208"/>
    <w:rsid w:val="006A2927"/>
    <w:rsid w:val="006A5D85"/>
    <w:rsid w:val="006A6AAC"/>
    <w:rsid w:val="006B5B8D"/>
    <w:rsid w:val="006B5C03"/>
    <w:rsid w:val="006B5FB2"/>
    <w:rsid w:val="006C2D76"/>
    <w:rsid w:val="006C4CFD"/>
    <w:rsid w:val="006D0BAD"/>
    <w:rsid w:val="006D2550"/>
    <w:rsid w:val="006D5BEA"/>
    <w:rsid w:val="006D6501"/>
    <w:rsid w:val="006D706C"/>
    <w:rsid w:val="006D7E1F"/>
    <w:rsid w:val="006E31A3"/>
    <w:rsid w:val="006F20E2"/>
    <w:rsid w:val="006F557C"/>
    <w:rsid w:val="006F6FEB"/>
    <w:rsid w:val="007010DD"/>
    <w:rsid w:val="00705DDF"/>
    <w:rsid w:val="00707AEF"/>
    <w:rsid w:val="00713842"/>
    <w:rsid w:val="00715593"/>
    <w:rsid w:val="0072070D"/>
    <w:rsid w:val="007229C1"/>
    <w:rsid w:val="0072444C"/>
    <w:rsid w:val="00726256"/>
    <w:rsid w:val="00731B67"/>
    <w:rsid w:val="00732B56"/>
    <w:rsid w:val="00734095"/>
    <w:rsid w:val="00734431"/>
    <w:rsid w:val="00734F49"/>
    <w:rsid w:val="00736D50"/>
    <w:rsid w:val="00740386"/>
    <w:rsid w:val="0074147A"/>
    <w:rsid w:val="00744107"/>
    <w:rsid w:val="00745B20"/>
    <w:rsid w:val="0074628D"/>
    <w:rsid w:val="00760D3E"/>
    <w:rsid w:val="00761EC1"/>
    <w:rsid w:val="007738E2"/>
    <w:rsid w:val="00780FEB"/>
    <w:rsid w:val="007829CF"/>
    <w:rsid w:val="00783FCA"/>
    <w:rsid w:val="00784A0E"/>
    <w:rsid w:val="00793643"/>
    <w:rsid w:val="00793C04"/>
    <w:rsid w:val="00795345"/>
    <w:rsid w:val="00796FE5"/>
    <w:rsid w:val="007A2FBA"/>
    <w:rsid w:val="007A5C70"/>
    <w:rsid w:val="007B0CAA"/>
    <w:rsid w:val="007B4D5F"/>
    <w:rsid w:val="007B6F48"/>
    <w:rsid w:val="007C4456"/>
    <w:rsid w:val="007C4A25"/>
    <w:rsid w:val="007C64F0"/>
    <w:rsid w:val="007C6C71"/>
    <w:rsid w:val="007D4C04"/>
    <w:rsid w:val="007D64D6"/>
    <w:rsid w:val="007F2315"/>
    <w:rsid w:val="007F43BF"/>
    <w:rsid w:val="0080250B"/>
    <w:rsid w:val="00806E49"/>
    <w:rsid w:val="00807F4B"/>
    <w:rsid w:val="00811D9F"/>
    <w:rsid w:val="0081660F"/>
    <w:rsid w:val="008206C9"/>
    <w:rsid w:val="008254A4"/>
    <w:rsid w:val="008327B7"/>
    <w:rsid w:val="00835BE3"/>
    <w:rsid w:val="00845B23"/>
    <w:rsid w:val="00846953"/>
    <w:rsid w:val="008506C9"/>
    <w:rsid w:val="00852BAC"/>
    <w:rsid w:val="00867726"/>
    <w:rsid w:val="00874A5D"/>
    <w:rsid w:val="00875424"/>
    <w:rsid w:val="008755E4"/>
    <w:rsid w:val="00891FCA"/>
    <w:rsid w:val="00892E5A"/>
    <w:rsid w:val="00897699"/>
    <w:rsid w:val="008A6B61"/>
    <w:rsid w:val="008B14C8"/>
    <w:rsid w:val="008B3E3C"/>
    <w:rsid w:val="008B4C22"/>
    <w:rsid w:val="008B7FF5"/>
    <w:rsid w:val="008C44F3"/>
    <w:rsid w:val="008C5BD6"/>
    <w:rsid w:val="008C6CD9"/>
    <w:rsid w:val="008D40CB"/>
    <w:rsid w:val="008E0196"/>
    <w:rsid w:val="008E32DC"/>
    <w:rsid w:val="008E5916"/>
    <w:rsid w:val="008E6549"/>
    <w:rsid w:val="008F1621"/>
    <w:rsid w:val="008F5DCE"/>
    <w:rsid w:val="0090147C"/>
    <w:rsid w:val="00901DA5"/>
    <w:rsid w:val="00902D41"/>
    <w:rsid w:val="00905AC5"/>
    <w:rsid w:val="009136AD"/>
    <w:rsid w:val="00915FF9"/>
    <w:rsid w:val="00917A67"/>
    <w:rsid w:val="00921B68"/>
    <w:rsid w:val="00925E63"/>
    <w:rsid w:val="00927DC8"/>
    <w:rsid w:val="00934301"/>
    <w:rsid w:val="009425C2"/>
    <w:rsid w:val="0094673C"/>
    <w:rsid w:val="00955A63"/>
    <w:rsid w:val="00956669"/>
    <w:rsid w:val="00956C6B"/>
    <w:rsid w:val="00963C6D"/>
    <w:rsid w:val="00963CCA"/>
    <w:rsid w:val="009665B0"/>
    <w:rsid w:val="00970188"/>
    <w:rsid w:val="0097501B"/>
    <w:rsid w:val="00980D7F"/>
    <w:rsid w:val="0098263D"/>
    <w:rsid w:val="00990256"/>
    <w:rsid w:val="00991172"/>
    <w:rsid w:val="00992C86"/>
    <w:rsid w:val="009947D8"/>
    <w:rsid w:val="009A1D1E"/>
    <w:rsid w:val="009B02FD"/>
    <w:rsid w:val="009B15CE"/>
    <w:rsid w:val="009B4D3B"/>
    <w:rsid w:val="009C4D14"/>
    <w:rsid w:val="009D099B"/>
    <w:rsid w:val="009D0F5A"/>
    <w:rsid w:val="009D1903"/>
    <w:rsid w:val="009D259B"/>
    <w:rsid w:val="009E0C65"/>
    <w:rsid w:val="009E29CE"/>
    <w:rsid w:val="009E36D6"/>
    <w:rsid w:val="009E3CC5"/>
    <w:rsid w:val="009E7B6A"/>
    <w:rsid w:val="009F2737"/>
    <w:rsid w:val="009F506C"/>
    <w:rsid w:val="00A0204A"/>
    <w:rsid w:val="00A13239"/>
    <w:rsid w:val="00A13E31"/>
    <w:rsid w:val="00A2247B"/>
    <w:rsid w:val="00A24D5A"/>
    <w:rsid w:val="00A31135"/>
    <w:rsid w:val="00A321B7"/>
    <w:rsid w:val="00A35519"/>
    <w:rsid w:val="00A40EC9"/>
    <w:rsid w:val="00A45EC9"/>
    <w:rsid w:val="00A46C21"/>
    <w:rsid w:val="00A51543"/>
    <w:rsid w:val="00A56D78"/>
    <w:rsid w:val="00A575CA"/>
    <w:rsid w:val="00A6192C"/>
    <w:rsid w:val="00A64136"/>
    <w:rsid w:val="00A720A3"/>
    <w:rsid w:val="00A72B86"/>
    <w:rsid w:val="00A73057"/>
    <w:rsid w:val="00A80EEC"/>
    <w:rsid w:val="00A811B8"/>
    <w:rsid w:val="00A84399"/>
    <w:rsid w:val="00A86585"/>
    <w:rsid w:val="00A956C8"/>
    <w:rsid w:val="00A97ADE"/>
    <w:rsid w:val="00AA1F1F"/>
    <w:rsid w:val="00AA2F2C"/>
    <w:rsid w:val="00AA64E2"/>
    <w:rsid w:val="00AA6C51"/>
    <w:rsid w:val="00AA7EC6"/>
    <w:rsid w:val="00AB6FAB"/>
    <w:rsid w:val="00AC03B2"/>
    <w:rsid w:val="00AC0400"/>
    <w:rsid w:val="00AC2280"/>
    <w:rsid w:val="00AC331C"/>
    <w:rsid w:val="00AC4692"/>
    <w:rsid w:val="00AC769E"/>
    <w:rsid w:val="00AD0D21"/>
    <w:rsid w:val="00AD445C"/>
    <w:rsid w:val="00AD5D82"/>
    <w:rsid w:val="00AE196B"/>
    <w:rsid w:val="00AE2BED"/>
    <w:rsid w:val="00AE4A5C"/>
    <w:rsid w:val="00AE67C1"/>
    <w:rsid w:val="00AE7785"/>
    <w:rsid w:val="00AF0262"/>
    <w:rsid w:val="00AF051E"/>
    <w:rsid w:val="00AF4AD6"/>
    <w:rsid w:val="00AF5D49"/>
    <w:rsid w:val="00AF6867"/>
    <w:rsid w:val="00AF6AA2"/>
    <w:rsid w:val="00B02B41"/>
    <w:rsid w:val="00B0432B"/>
    <w:rsid w:val="00B0662C"/>
    <w:rsid w:val="00B070C9"/>
    <w:rsid w:val="00B11497"/>
    <w:rsid w:val="00B1448B"/>
    <w:rsid w:val="00B24D5D"/>
    <w:rsid w:val="00B26E58"/>
    <w:rsid w:val="00B31F7E"/>
    <w:rsid w:val="00B34560"/>
    <w:rsid w:val="00B37371"/>
    <w:rsid w:val="00B4444F"/>
    <w:rsid w:val="00B473C4"/>
    <w:rsid w:val="00B516E7"/>
    <w:rsid w:val="00B51868"/>
    <w:rsid w:val="00B5542B"/>
    <w:rsid w:val="00B57926"/>
    <w:rsid w:val="00B608CE"/>
    <w:rsid w:val="00B723BB"/>
    <w:rsid w:val="00B7737B"/>
    <w:rsid w:val="00B82E14"/>
    <w:rsid w:val="00B851FD"/>
    <w:rsid w:val="00B93B63"/>
    <w:rsid w:val="00BA0FB6"/>
    <w:rsid w:val="00BA1060"/>
    <w:rsid w:val="00BA5565"/>
    <w:rsid w:val="00BA7CBB"/>
    <w:rsid w:val="00BB17AE"/>
    <w:rsid w:val="00BB1A81"/>
    <w:rsid w:val="00BB2B30"/>
    <w:rsid w:val="00BB4D9B"/>
    <w:rsid w:val="00BB59E1"/>
    <w:rsid w:val="00BB741F"/>
    <w:rsid w:val="00BC17CA"/>
    <w:rsid w:val="00BC56F7"/>
    <w:rsid w:val="00BC7468"/>
    <w:rsid w:val="00BD4124"/>
    <w:rsid w:val="00BD6173"/>
    <w:rsid w:val="00BD7B8E"/>
    <w:rsid w:val="00BE1DB3"/>
    <w:rsid w:val="00BE70B0"/>
    <w:rsid w:val="00BE7D5C"/>
    <w:rsid w:val="00BF2954"/>
    <w:rsid w:val="00BF2E75"/>
    <w:rsid w:val="00BF69FA"/>
    <w:rsid w:val="00BF6D16"/>
    <w:rsid w:val="00C03D88"/>
    <w:rsid w:val="00C04D38"/>
    <w:rsid w:val="00C22755"/>
    <w:rsid w:val="00C23252"/>
    <w:rsid w:val="00C26A95"/>
    <w:rsid w:val="00C26CC0"/>
    <w:rsid w:val="00C30ED6"/>
    <w:rsid w:val="00C30F40"/>
    <w:rsid w:val="00C31BC5"/>
    <w:rsid w:val="00C35AE6"/>
    <w:rsid w:val="00C35E88"/>
    <w:rsid w:val="00C35F5D"/>
    <w:rsid w:val="00C374A1"/>
    <w:rsid w:val="00C43F3A"/>
    <w:rsid w:val="00C45353"/>
    <w:rsid w:val="00C51032"/>
    <w:rsid w:val="00C5292B"/>
    <w:rsid w:val="00C57D05"/>
    <w:rsid w:val="00C65713"/>
    <w:rsid w:val="00C669DC"/>
    <w:rsid w:val="00C66C33"/>
    <w:rsid w:val="00C7697C"/>
    <w:rsid w:val="00C93BC3"/>
    <w:rsid w:val="00CA0D98"/>
    <w:rsid w:val="00CA17EA"/>
    <w:rsid w:val="00CB2489"/>
    <w:rsid w:val="00CB2E48"/>
    <w:rsid w:val="00CB5A6B"/>
    <w:rsid w:val="00CC12B9"/>
    <w:rsid w:val="00CC2363"/>
    <w:rsid w:val="00CC2378"/>
    <w:rsid w:val="00CC2603"/>
    <w:rsid w:val="00CE0C56"/>
    <w:rsid w:val="00CE190A"/>
    <w:rsid w:val="00CE2ED3"/>
    <w:rsid w:val="00CF3244"/>
    <w:rsid w:val="00CF4EED"/>
    <w:rsid w:val="00CF6CCE"/>
    <w:rsid w:val="00D01099"/>
    <w:rsid w:val="00D032EA"/>
    <w:rsid w:val="00D1073B"/>
    <w:rsid w:val="00D11352"/>
    <w:rsid w:val="00D11FC8"/>
    <w:rsid w:val="00D15F69"/>
    <w:rsid w:val="00D160EB"/>
    <w:rsid w:val="00D2706F"/>
    <w:rsid w:val="00D3674D"/>
    <w:rsid w:val="00D47F6A"/>
    <w:rsid w:val="00D61698"/>
    <w:rsid w:val="00D62230"/>
    <w:rsid w:val="00D661D6"/>
    <w:rsid w:val="00D71D08"/>
    <w:rsid w:val="00D74ABA"/>
    <w:rsid w:val="00D75086"/>
    <w:rsid w:val="00D75BBD"/>
    <w:rsid w:val="00D75FED"/>
    <w:rsid w:val="00D76EA9"/>
    <w:rsid w:val="00D80453"/>
    <w:rsid w:val="00D866B6"/>
    <w:rsid w:val="00D90DD8"/>
    <w:rsid w:val="00D96E82"/>
    <w:rsid w:val="00D97C41"/>
    <w:rsid w:val="00DA02E9"/>
    <w:rsid w:val="00DA2E19"/>
    <w:rsid w:val="00DA5913"/>
    <w:rsid w:val="00DC156D"/>
    <w:rsid w:val="00DC3378"/>
    <w:rsid w:val="00DC47A2"/>
    <w:rsid w:val="00DC5D98"/>
    <w:rsid w:val="00DC63CA"/>
    <w:rsid w:val="00DC6AB1"/>
    <w:rsid w:val="00DD1683"/>
    <w:rsid w:val="00DD3F0C"/>
    <w:rsid w:val="00DD6A8C"/>
    <w:rsid w:val="00DD72EF"/>
    <w:rsid w:val="00DE1B44"/>
    <w:rsid w:val="00DE3771"/>
    <w:rsid w:val="00DE6BD0"/>
    <w:rsid w:val="00DF0CB3"/>
    <w:rsid w:val="00DF1960"/>
    <w:rsid w:val="00DF2C25"/>
    <w:rsid w:val="00DF4BAA"/>
    <w:rsid w:val="00E02503"/>
    <w:rsid w:val="00E0259B"/>
    <w:rsid w:val="00E04E74"/>
    <w:rsid w:val="00E14113"/>
    <w:rsid w:val="00E20EA1"/>
    <w:rsid w:val="00E25087"/>
    <w:rsid w:val="00E26AF0"/>
    <w:rsid w:val="00E27234"/>
    <w:rsid w:val="00E273AF"/>
    <w:rsid w:val="00E35D9A"/>
    <w:rsid w:val="00E37CAD"/>
    <w:rsid w:val="00E4591A"/>
    <w:rsid w:val="00E4614C"/>
    <w:rsid w:val="00E550D9"/>
    <w:rsid w:val="00E61F1D"/>
    <w:rsid w:val="00E65926"/>
    <w:rsid w:val="00E71040"/>
    <w:rsid w:val="00E71E58"/>
    <w:rsid w:val="00E7251C"/>
    <w:rsid w:val="00E83994"/>
    <w:rsid w:val="00E8506B"/>
    <w:rsid w:val="00E976D9"/>
    <w:rsid w:val="00EA0B0A"/>
    <w:rsid w:val="00EA14B0"/>
    <w:rsid w:val="00EA22C2"/>
    <w:rsid w:val="00EA4B6A"/>
    <w:rsid w:val="00EA7885"/>
    <w:rsid w:val="00EB1333"/>
    <w:rsid w:val="00EB1722"/>
    <w:rsid w:val="00EB6D40"/>
    <w:rsid w:val="00EB7FCC"/>
    <w:rsid w:val="00EC5953"/>
    <w:rsid w:val="00EC5C11"/>
    <w:rsid w:val="00ED28D3"/>
    <w:rsid w:val="00ED4BC2"/>
    <w:rsid w:val="00ED59F1"/>
    <w:rsid w:val="00ED6207"/>
    <w:rsid w:val="00EE5173"/>
    <w:rsid w:val="00EF2A4E"/>
    <w:rsid w:val="00EF3DDC"/>
    <w:rsid w:val="00EF6944"/>
    <w:rsid w:val="00F01388"/>
    <w:rsid w:val="00F142EF"/>
    <w:rsid w:val="00F16369"/>
    <w:rsid w:val="00F16523"/>
    <w:rsid w:val="00F30F6D"/>
    <w:rsid w:val="00F3236B"/>
    <w:rsid w:val="00F400BC"/>
    <w:rsid w:val="00F41686"/>
    <w:rsid w:val="00F43603"/>
    <w:rsid w:val="00F45230"/>
    <w:rsid w:val="00F5732B"/>
    <w:rsid w:val="00F60638"/>
    <w:rsid w:val="00F60FEA"/>
    <w:rsid w:val="00F66CCC"/>
    <w:rsid w:val="00F7169F"/>
    <w:rsid w:val="00F73C1C"/>
    <w:rsid w:val="00F800F8"/>
    <w:rsid w:val="00F83CE4"/>
    <w:rsid w:val="00F84D3C"/>
    <w:rsid w:val="00F931ED"/>
    <w:rsid w:val="00F97640"/>
    <w:rsid w:val="00FA17CE"/>
    <w:rsid w:val="00FA29E2"/>
    <w:rsid w:val="00FB3051"/>
    <w:rsid w:val="00FC1B10"/>
    <w:rsid w:val="00FC3DD6"/>
    <w:rsid w:val="00FC4934"/>
    <w:rsid w:val="00FC54BA"/>
    <w:rsid w:val="00FC7AE9"/>
    <w:rsid w:val="00FE2F31"/>
    <w:rsid w:val="00FE3DB4"/>
    <w:rsid w:val="00FE565E"/>
    <w:rsid w:val="00FE5B81"/>
    <w:rsid w:val="00FE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4">
    <w:name w:val="heading 4"/>
    <w:aliases w:val="Map Title"/>
    <w:basedOn w:val="Normal"/>
    <w:next w:val="Normal"/>
    <w:link w:val="Heading4Char"/>
    <w:qFormat/>
    <w:rsid w:val="00DE3771"/>
    <w:pPr>
      <w:spacing w:after="240"/>
      <w:outlineLvl w:val="3"/>
    </w:pPr>
    <w:rPr>
      <w:rFonts w:ascii="Arial" w:eastAsia="Times New Roman" w:hAnsi="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71"/>
    <w:pPr>
      <w:tabs>
        <w:tab w:val="center" w:pos="4513"/>
        <w:tab w:val="right" w:pos="9026"/>
      </w:tabs>
    </w:pPr>
  </w:style>
  <w:style w:type="character" w:customStyle="1" w:styleId="HeaderChar">
    <w:name w:val="Header Char"/>
    <w:link w:val="Header"/>
    <w:uiPriority w:val="99"/>
    <w:rsid w:val="00DE3771"/>
    <w:rPr>
      <w:sz w:val="22"/>
      <w:szCs w:val="22"/>
      <w:lang w:eastAsia="en-US"/>
    </w:rPr>
  </w:style>
  <w:style w:type="paragraph" w:styleId="Footer">
    <w:name w:val="footer"/>
    <w:basedOn w:val="Normal"/>
    <w:link w:val="FooterChar"/>
    <w:uiPriority w:val="99"/>
    <w:unhideWhenUsed/>
    <w:rsid w:val="00DE3771"/>
    <w:pPr>
      <w:tabs>
        <w:tab w:val="center" w:pos="4513"/>
        <w:tab w:val="right" w:pos="9026"/>
      </w:tabs>
    </w:pPr>
  </w:style>
  <w:style w:type="character" w:customStyle="1" w:styleId="FooterChar">
    <w:name w:val="Footer Char"/>
    <w:link w:val="Footer"/>
    <w:uiPriority w:val="99"/>
    <w:rsid w:val="00DE3771"/>
    <w:rPr>
      <w:sz w:val="22"/>
      <w:szCs w:val="22"/>
      <w:lang w:eastAsia="en-US"/>
    </w:rPr>
  </w:style>
  <w:style w:type="character" w:customStyle="1" w:styleId="Heading4Char">
    <w:name w:val="Heading 4 Char"/>
    <w:aliases w:val="Map Title Char"/>
    <w:link w:val="Heading4"/>
    <w:rsid w:val="00DE3771"/>
    <w:rPr>
      <w:rFonts w:ascii="Arial" w:eastAsia="Times New Roman" w:hAnsi="Arial"/>
      <w:b/>
      <w:sz w:val="32"/>
      <w:lang w:val="en-US" w:eastAsia="en-US"/>
    </w:rPr>
  </w:style>
  <w:style w:type="paragraph" w:customStyle="1" w:styleId="BlockLine">
    <w:name w:val="Block Line"/>
    <w:basedOn w:val="Normal"/>
    <w:next w:val="Normal"/>
    <w:rsid w:val="00DE3771"/>
    <w:pPr>
      <w:pBdr>
        <w:top w:val="single" w:sz="6" w:space="1" w:color="auto"/>
        <w:between w:val="single" w:sz="6" w:space="1" w:color="auto"/>
      </w:pBdr>
      <w:spacing w:before="240"/>
      <w:ind w:left="1700"/>
    </w:pPr>
    <w:rPr>
      <w:rFonts w:ascii="Times New Roman" w:eastAsia="Times New Roman" w:hAnsi="Times New Roman"/>
      <w:sz w:val="24"/>
      <w:szCs w:val="20"/>
      <w:lang w:val="en-US"/>
    </w:rPr>
  </w:style>
  <w:style w:type="paragraph" w:styleId="BlockText">
    <w:name w:val="Block Text"/>
    <w:basedOn w:val="Normal"/>
    <w:rsid w:val="00DE3771"/>
    <w:rPr>
      <w:rFonts w:ascii="Times New Roman" w:eastAsia="Times New Roman" w:hAnsi="Times New Roman"/>
      <w:sz w:val="24"/>
      <w:szCs w:val="20"/>
      <w:lang w:val="en-US"/>
    </w:rPr>
  </w:style>
  <w:style w:type="character" w:styleId="Hyperlink">
    <w:name w:val="Hyperlink"/>
    <w:uiPriority w:val="99"/>
    <w:unhideWhenUsed/>
    <w:rsid w:val="00927DC8"/>
    <w:rPr>
      <w:color w:val="0000FF"/>
      <w:u w:val="single"/>
    </w:rPr>
  </w:style>
  <w:style w:type="character" w:styleId="FollowedHyperlink">
    <w:name w:val="FollowedHyperlink"/>
    <w:uiPriority w:val="99"/>
    <w:semiHidden/>
    <w:unhideWhenUsed/>
    <w:rsid w:val="00927DC8"/>
    <w:rPr>
      <w:color w:val="800080"/>
      <w:u w:val="single"/>
    </w:rPr>
  </w:style>
  <w:style w:type="paragraph" w:styleId="ListParagraph">
    <w:name w:val="List Paragraph"/>
    <w:basedOn w:val="Normal"/>
    <w:uiPriority w:val="34"/>
    <w:qFormat/>
    <w:rsid w:val="00266DFA"/>
    <w:pPr>
      <w:ind w:left="720"/>
    </w:pPr>
  </w:style>
  <w:style w:type="paragraph" w:styleId="BalloonText">
    <w:name w:val="Balloon Text"/>
    <w:basedOn w:val="Normal"/>
    <w:link w:val="BalloonTextChar"/>
    <w:uiPriority w:val="99"/>
    <w:semiHidden/>
    <w:unhideWhenUsed/>
    <w:rsid w:val="00F97640"/>
    <w:rPr>
      <w:rFonts w:ascii="Tahoma" w:hAnsi="Tahoma" w:cs="Tahoma"/>
      <w:sz w:val="16"/>
      <w:szCs w:val="16"/>
    </w:rPr>
  </w:style>
  <w:style w:type="character" w:customStyle="1" w:styleId="BalloonTextChar">
    <w:name w:val="Balloon Text Char"/>
    <w:link w:val="BalloonText"/>
    <w:uiPriority w:val="99"/>
    <w:semiHidden/>
    <w:rsid w:val="00F97640"/>
    <w:rPr>
      <w:rFonts w:ascii="Tahoma" w:hAnsi="Tahoma" w:cs="Tahoma"/>
      <w:sz w:val="16"/>
      <w:szCs w:val="16"/>
      <w:lang w:eastAsia="en-US"/>
    </w:rPr>
  </w:style>
  <w:style w:type="character" w:styleId="CommentReference">
    <w:name w:val="annotation reference"/>
    <w:uiPriority w:val="99"/>
    <w:semiHidden/>
    <w:unhideWhenUsed/>
    <w:rsid w:val="00694F62"/>
    <w:rPr>
      <w:sz w:val="16"/>
      <w:szCs w:val="16"/>
    </w:rPr>
  </w:style>
  <w:style w:type="paragraph" w:styleId="CommentText">
    <w:name w:val="annotation text"/>
    <w:basedOn w:val="Normal"/>
    <w:link w:val="CommentTextChar"/>
    <w:uiPriority w:val="99"/>
    <w:semiHidden/>
    <w:unhideWhenUsed/>
    <w:rsid w:val="00694F62"/>
    <w:rPr>
      <w:sz w:val="20"/>
      <w:szCs w:val="20"/>
    </w:rPr>
  </w:style>
  <w:style w:type="character" w:customStyle="1" w:styleId="CommentTextChar">
    <w:name w:val="Comment Text Char"/>
    <w:link w:val="CommentText"/>
    <w:uiPriority w:val="99"/>
    <w:semiHidden/>
    <w:rsid w:val="00694F62"/>
    <w:rPr>
      <w:lang w:eastAsia="en-US"/>
    </w:rPr>
  </w:style>
  <w:style w:type="paragraph" w:styleId="CommentSubject">
    <w:name w:val="annotation subject"/>
    <w:basedOn w:val="CommentText"/>
    <w:next w:val="CommentText"/>
    <w:link w:val="CommentSubjectChar"/>
    <w:uiPriority w:val="99"/>
    <w:semiHidden/>
    <w:unhideWhenUsed/>
    <w:rsid w:val="00694F62"/>
    <w:rPr>
      <w:b/>
      <w:bCs/>
    </w:rPr>
  </w:style>
  <w:style w:type="character" w:customStyle="1" w:styleId="CommentSubjectChar">
    <w:name w:val="Comment Subject Char"/>
    <w:link w:val="CommentSubject"/>
    <w:uiPriority w:val="99"/>
    <w:semiHidden/>
    <w:rsid w:val="00694F62"/>
    <w:rPr>
      <w:b/>
      <w:bCs/>
      <w:lang w:eastAsia="en-US"/>
    </w:rPr>
  </w:style>
  <w:style w:type="table" w:styleId="TableGrid">
    <w:name w:val="Table Grid"/>
    <w:basedOn w:val="TableNormal"/>
    <w:uiPriority w:val="59"/>
    <w:rsid w:val="00E71E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D1E"/>
    <w:rPr>
      <w:rFonts w:ascii="Arial" w:hAnsi="Arial"/>
      <w:sz w:val="22"/>
      <w:szCs w:val="22"/>
      <w:lang w:eastAsia="en-US"/>
    </w:rPr>
  </w:style>
  <w:style w:type="table" w:customStyle="1" w:styleId="TableGrid1">
    <w:name w:val="Table Grid1"/>
    <w:basedOn w:val="TableNormal"/>
    <w:next w:val="TableGrid"/>
    <w:uiPriority w:val="59"/>
    <w:rsid w:val="004266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6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4">
    <w:name w:val="heading 4"/>
    <w:aliases w:val="Map Title"/>
    <w:basedOn w:val="Normal"/>
    <w:next w:val="Normal"/>
    <w:link w:val="Heading4Char"/>
    <w:qFormat/>
    <w:rsid w:val="00DE3771"/>
    <w:pPr>
      <w:spacing w:after="240"/>
      <w:outlineLvl w:val="3"/>
    </w:pPr>
    <w:rPr>
      <w:rFonts w:ascii="Arial" w:eastAsia="Times New Roman" w:hAnsi="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71"/>
    <w:pPr>
      <w:tabs>
        <w:tab w:val="center" w:pos="4513"/>
        <w:tab w:val="right" w:pos="9026"/>
      </w:tabs>
    </w:pPr>
  </w:style>
  <w:style w:type="character" w:customStyle="1" w:styleId="HeaderChar">
    <w:name w:val="Header Char"/>
    <w:link w:val="Header"/>
    <w:uiPriority w:val="99"/>
    <w:rsid w:val="00DE3771"/>
    <w:rPr>
      <w:sz w:val="22"/>
      <w:szCs w:val="22"/>
      <w:lang w:eastAsia="en-US"/>
    </w:rPr>
  </w:style>
  <w:style w:type="paragraph" w:styleId="Footer">
    <w:name w:val="footer"/>
    <w:basedOn w:val="Normal"/>
    <w:link w:val="FooterChar"/>
    <w:uiPriority w:val="99"/>
    <w:unhideWhenUsed/>
    <w:rsid w:val="00DE3771"/>
    <w:pPr>
      <w:tabs>
        <w:tab w:val="center" w:pos="4513"/>
        <w:tab w:val="right" w:pos="9026"/>
      </w:tabs>
    </w:pPr>
  </w:style>
  <w:style w:type="character" w:customStyle="1" w:styleId="FooterChar">
    <w:name w:val="Footer Char"/>
    <w:link w:val="Footer"/>
    <w:uiPriority w:val="99"/>
    <w:rsid w:val="00DE3771"/>
    <w:rPr>
      <w:sz w:val="22"/>
      <w:szCs w:val="22"/>
      <w:lang w:eastAsia="en-US"/>
    </w:rPr>
  </w:style>
  <w:style w:type="character" w:customStyle="1" w:styleId="Heading4Char">
    <w:name w:val="Heading 4 Char"/>
    <w:aliases w:val="Map Title Char"/>
    <w:link w:val="Heading4"/>
    <w:rsid w:val="00DE3771"/>
    <w:rPr>
      <w:rFonts w:ascii="Arial" w:eastAsia="Times New Roman" w:hAnsi="Arial"/>
      <w:b/>
      <w:sz w:val="32"/>
      <w:lang w:val="en-US" w:eastAsia="en-US"/>
    </w:rPr>
  </w:style>
  <w:style w:type="paragraph" w:customStyle="1" w:styleId="BlockLine">
    <w:name w:val="Block Line"/>
    <w:basedOn w:val="Normal"/>
    <w:next w:val="Normal"/>
    <w:rsid w:val="00DE3771"/>
    <w:pPr>
      <w:pBdr>
        <w:top w:val="single" w:sz="6" w:space="1" w:color="auto"/>
        <w:between w:val="single" w:sz="6" w:space="1" w:color="auto"/>
      </w:pBdr>
      <w:spacing w:before="240"/>
      <w:ind w:left="1700"/>
    </w:pPr>
    <w:rPr>
      <w:rFonts w:ascii="Times New Roman" w:eastAsia="Times New Roman" w:hAnsi="Times New Roman"/>
      <w:sz w:val="24"/>
      <w:szCs w:val="20"/>
      <w:lang w:val="en-US"/>
    </w:rPr>
  </w:style>
  <w:style w:type="paragraph" w:styleId="BlockText">
    <w:name w:val="Block Text"/>
    <w:basedOn w:val="Normal"/>
    <w:rsid w:val="00DE3771"/>
    <w:rPr>
      <w:rFonts w:ascii="Times New Roman" w:eastAsia="Times New Roman" w:hAnsi="Times New Roman"/>
      <w:sz w:val="24"/>
      <w:szCs w:val="20"/>
      <w:lang w:val="en-US"/>
    </w:rPr>
  </w:style>
  <w:style w:type="character" w:styleId="Hyperlink">
    <w:name w:val="Hyperlink"/>
    <w:uiPriority w:val="99"/>
    <w:unhideWhenUsed/>
    <w:rsid w:val="00927DC8"/>
    <w:rPr>
      <w:color w:val="0000FF"/>
      <w:u w:val="single"/>
    </w:rPr>
  </w:style>
  <w:style w:type="character" w:styleId="FollowedHyperlink">
    <w:name w:val="FollowedHyperlink"/>
    <w:uiPriority w:val="99"/>
    <w:semiHidden/>
    <w:unhideWhenUsed/>
    <w:rsid w:val="00927DC8"/>
    <w:rPr>
      <w:color w:val="800080"/>
      <w:u w:val="single"/>
    </w:rPr>
  </w:style>
  <w:style w:type="paragraph" w:styleId="ListParagraph">
    <w:name w:val="List Paragraph"/>
    <w:basedOn w:val="Normal"/>
    <w:uiPriority w:val="34"/>
    <w:qFormat/>
    <w:rsid w:val="00266DFA"/>
    <w:pPr>
      <w:ind w:left="720"/>
    </w:pPr>
  </w:style>
  <w:style w:type="paragraph" w:styleId="BalloonText">
    <w:name w:val="Balloon Text"/>
    <w:basedOn w:val="Normal"/>
    <w:link w:val="BalloonTextChar"/>
    <w:uiPriority w:val="99"/>
    <w:semiHidden/>
    <w:unhideWhenUsed/>
    <w:rsid w:val="00F97640"/>
    <w:rPr>
      <w:rFonts w:ascii="Tahoma" w:hAnsi="Tahoma" w:cs="Tahoma"/>
      <w:sz w:val="16"/>
      <w:szCs w:val="16"/>
    </w:rPr>
  </w:style>
  <w:style w:type="character" w:customStyle="1" w:styleId="BalloonTextChar">
    <w:name w:val="Balloon Text Char"/>
    <w:link w:val="BalloonText"/>
    <w:uiPriority w:val="99"/>
    <w:semiHidden/>
    <w:rsid w:val="00F97640"/>
    <w:rPr>
      <w:rFonts w:ascii="Tahoma" w:hAnsi="Tahoma" w:cs="Tahoma"/>
      <w:sz w:val="16"/>
      <w:szCs w:val="16"/>
      <w:lang w:eastAsia="en-US"/>
    </w:rPr>
  </w:style>
  <w:style w:type="character" w:styleId="CommentReference">
    <w:name w:val="annotation reference"/>
    <w:uiPriority w:val="99"/>
    <w:semiHidden/>
    <w:unhideWhenUsed/>
    <w:rsid w:val="00694F62"/>
    <w:rPr>
      <w:sz w:val="16"/>
      <w:szCs w:val="16"/>
    </w:rPr>
  </w:style>
  <w:style w:type="paragraph" w:styleId="CommentText">
    <w:name w:val="annotation text"/>
    <w:basedOn w:val="Normal"/>
    <w:link w:val="CommentTextChar"/>
    <w:uiPriority w:val="99"/>
    <w:semiHidden/>
    <w:unhideWhenUsed/>
    <w:rsid w:val="00694F62"/>
    <w:rPr>
      <w:sz w:val="20"/>
      <w:szCs w:val="20"/>
    </w:rPr>
  </w:style>
  <w:style w:type="character" w:customStyle="1" w:styleId="CommentTextChar">
    <w:name w:val="Comment Text Char"/>
    <w:link w:val="CommentText"/>
    <w:uiPriority w:val="99"/>
    <w:semiHidden/>
    <w:rsid w:val="00694F62"/>
    <w:rPr>
      <w:lang w:eastAsia="en-US"/>
    </w:rPr>
  </w:style>
  <w:style w:type="paragraph" w:styleId="CommentSubject">
    <w:name w:val="annotation subject"/>
    <w:basedOn w:val="CommentText"/>
    <w:next w:val="CommentText"/>
    <w:link w:val="CommentSubjectChar"/>
    <w:uiPriority w:val="99"/>
    <w:semiHidden/>
    <w:unhideWhenUsed/>
    <w:rsid w:val="00694F62"/>
    <w:rPr>
      <w:b/>
      <w:bCs/>
    </w:rPr>
  </w:style>
  <w:style w:type="character" w:customStyle="1" w:styleId="CommentSubjectChar">
    <w:name w:val="Comment Subject Char"/>
    <w:link w:val="CommentSubject"/>
    <w:uiPriority w:val="99"/>
    <w:semiHidden/>
    <w:rsid w:val="00694F62"/>
    <w:rPr>
      <w:b/>
      <w:bCs/>
      <w:lang w:eastAsia="en-US"/>
    </w:rPr>
  </w:style>
  <w:style w:type="table" w:styleId="TableGrid">
    <w:name w:val="Table Grid"/>
    <w:basedOn w:val="TableNormal"/>
    <w:uiPriority w:val="59"/>
    <w:rsid w:val="00E71E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D1E"/>
    <w:rPr>
      <w:rFonts w:ascii="Arial" w:hAnsi="Arial"/>
      <w:sz w:val="22"/>
      <w:szCs w:val="22"/>
      <w:lang w:eastAsia="en-US"/>
    </w:rPr>
  </w:style>
  <w:style w:type="table" w:customStyle="1" w:styleId="TableGrid1">
    <w:name w:val="Table Grid1"/>
    <w:basedOn w:val="TableNormal"/>
    <w:next w:val="TableGrid"/>
    <w:uiPriority w:val="59"/>
    <w:rsid w:val="004266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6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710">
      <w:bodyDiv w:val="1"/>
      <w:marLeft w:val="0"/>
      <w:marRight w:val="0"/>
      <w:marTop w:val="0"/>
      <w:marBottom w:val="0"/>
      <w:divBdr>
        <w:top w:val="none" w:sz="0" w:space="0" w:color="auto"/>
        <w:left w:val="none" w:sz="0" w:space="0" w:color="auto"/>
        <w:bottom w:val="none" w:sz="0" w:space="0" w:color="auto"/>
        <w:right w:val="none" w:sz="0" w:space="0" w:color="auto"/>
      </w:divBdr>
    </w:div>
    <w:div w:id="177352826">
      <w:bodyDiv w:val="1"/>
      <w:marLeft w:val="0"/>
      <w:marRight w:val="0"/>
      <w:marTop w:val="0"/>
      <w:marBottom w:val="0"/>
      <w:divBdr>
        <w:top w:val="none" w:sz="0" w:space="0" w:color="auto"/>
        <w:left w:val="none" w:sz="0" w:space="0" w:color="auto"/>
        <w:bottom w:val="none" w:sz="0" w:space="0" w:color="auto"/>
        <w:right w:val="none" w:sz="0" w:space="0" w:color="auto"/>
      </w:divBdr>
    </w:div>
    <w:div w:id="766999310">
      <w:bodyDiv w:val="1"/>
      <w:marLeft w:val="0"/>
      <w:marRight w:val="0"/>
      <w:marTop w:val="0"/>
      <w:marBottom w:val="0"/>
      <w:divBdr>
        <w:top w:val="none" w:sz="0" w:space="0" w:color="auto"/>
        <w:left w:val="none" w:sz="0" w:space="0" w:color="auto"/>
        <w:bottom w:val="none" w:sz="0" w:space="0" w:color="auto"/>
        <w:right w:val="none" w:sz="0" w:space="0" w:color="auto"/>
      </w:divBdr>
    </w:div>
    <w:div w:id="864559951">
      <w:bodyDiv w:val="1"/>
      <w:marLeft w:val="0"/>
      <w:marRight w:val="0"/>
      <w:marTop w:val="0"/>
      <w:marBottom w:val="0"/>
      <w:divBdr>
        <w:top w:val="none" w:sz="0" w:space="0" w:color="auto"/>
        <w:left w:val="none" w:sz="0" w:space="0" w:color="auto"/>
        <w:bottom w:val="none" w:sz="0" w:space="0" w:color="auto"/>
        <w:right w:val="none" w:sz="0" w:space="0" w:color="auto"/>
      </w:divBdr>
    </w:div>
    <w:div w:id="1403480345">
      <w:bodyDiv w:val="1"/>
      <w:marLeft w:val="0"/>
      <w:marRight w:val="0"/>
      <w:marTop w:val="0"/>
      <w:marBottom w:val="0"/>
      <w:divBdr>
        <w:top w:val="none" w:sz="0" w:space="0" w:color="auto"/>
        <w:left w:val="none" w:sz="0" w:space="0" w:color="auto"/>
        <w:bottom w:val="none" w:sz="0" w:space="0" w:color="auto"/>
        <w:right w:val="none" w:sz="0" w:space="0" w:color="auto"/>
      </w:divBdr>
    </w:div>
    <w:div w:id="1403523564">
      <w:bodyDiv w:val="1"/>
      <w:marLeft w:val="0"/>
      <w:marRight w:val="0"/>
      <w:marTop w:val="0"/>
      <w:marBottom w:val="0"/>
      <w:divBdr>
        <w:top w:val="none" w:sz="0" w:space="0" w:color="auto"/>
        <w:left w:val="none" w:sz="0" w:space="0" w:color="auto"/>
        <w:bottom w:val="none" w:sz="0" w:space="0" w:color="auto"/>
        <w:right w:val="none" w:sz="0" w:space="0" w:color="auto"/>
      </w:divBdr>
    </w:div>
    <w:div w:id="1430737319">
      <w:bodyDiv w:val="1"/>
      <w:marLeft w:val="0"/>
      <w:marRight w:val="0"/>
      <w:marTop w:val="0"/>
      <w:marBottom w:val="0"/>
      <w:divBdr>
        <w:top w:val="none" w:sz="0" w:space="0" w:color="auto"/>
        <w:left w:val="none" w:sz="0" w:space="0" w:color="auto"/>
        <w:bottom w:val="none" w:sz="0" w:space="0" w:color="auto"/>
        <w:right w:val="none" w:sz="0" w:space="0" w:color="auto"/>
      </w:divBdr>
    </w:div>
    <w:div w:id="20954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courts.gov.uk/docs/default-source/scs-consultation-court-structures/response_to_the_consultation_and_recommendationspd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otcourts.gov.uk/about-the-scottish-court-service/scs-news/2018/07/09/consultation-on-jp-court-reloc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5AD1-9F63-4FF7-B533-40BB9EB3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14108</CharactersWithSpaces>
  <SharedDoc>false</SharedDoc>
  <HLinks>
    <vt:vector size="18" baseType="variant">
      <vt:variant>
        <vt:i4>589846</vt:i4>
      </vt:variant>
      <vt:variant>
        <vt:i4>6</vt:i4>
      </vt:variant>
      <vt:variant>
        <vt:i4>0</vt:i4>
      </vt:variant>
      <vt:variant>
        <vt:i4>5</vt:i4>
      </vt:variant>
      <vt:variant>
        <vt:lpwstr/>
      </vt:variant>
      <vt:variant>
        <vt:lpwstr>AppendixB</vt:lpwstr>
      </vt:variant>
      <vt:variant>
        <vt:i4>1048698</vt:i4>
      </vt:variant>
      <vt:variant>
        <vt:i4>3</vt:i4>
      </vt:variant>
      <vt:variant>
        <vt:i4>0</vt:i4>
      </vt:variant>
      <vt:variant>
        <vt:i4>5</vt:i4>
      </vt:variant>
      <vt:variant>
        <vt:lpwstr>http://www.scotcourts.gov.uk/docs/default-source/scs-consultation-court-structures/response_to_the_consultation_and_recommendationspdf.pdf</vt:lpwstr>
      </vt:variant>
      <vt:variant>
        <vt:lpwstr/>
      </vt:variant>
      <vt:variant>
        <vt:i4>589846</vt:i4>
      </vt:variant>
      <vt:variant>
        <vt:i4>0</vt:i4>
      </vt:variant>
      <vt:variant>
        <vt:i4>0</vt:i4>
      </vt:variant>
      <vt:variant>
        <vt:i4>5</vt:i4>
      </vt:variant>
      <vt:variant>
        <vt:lpwstr/>
      </vt:variant>
      <vt:variant>
        <vt:lpwstr>AppendixA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ebergen</dc:creator>
  <cp:lastModifiedBy>cmccorkindale</cp:lastModifiedBy>
  <cp:revision>8</cp:revision>
  <cp:lastPrinted>2018-08-10T08:54:00Z</cp:lastPrinted>
  <dcterms:created xsi:type="dcterms:W3CDTF">2018-08-10T07:15:00Z</dcterms:created>
  <dcterms:modified xsi:type="dcterms:W3CDTF">2018-08-21T15:26:00Z</dcterms:modified>
</cp:coreProperties>
</file>