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21" w:rsidRDefault="00E90C21" w:rsidP="00E90C21">
      <w:pPr>
        <w:spacing w:after="202"/>
        <w:rPr>
          <w:rFonts w:ascii="Arial" w:hAnsi="Arial" w:cs="Arial"/>
          <w:sz w:val="24"/>
        </w:rPr>
      </w:pPr>
      <w:r w:rsidRPr="00E90C21">
        <w:rPr>
          <w:rFonts w:ascii="Arial" w:hAnsi="Arial" w:cs="Arial"/>
          <w:noProof/>
          <w:sz w:val="24"/>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416810" cy="714375"/>
            <wp:effectExtent l="0" t="0" r="2540" b="9525"/>
            <wp:wrapSquare wrapText="bothSides"/>
            <wp:docPr id="2" name="Picture 2" descr="Description: http://myscs/library/Support/Templates/Crests/Scottish_Courts_Tribunals_Serv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myscs/library/Support/Templates/Crests/Scottish_Courts_Tribunals_Servi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681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0C21" w:rsidRDefault="00E90C21" w:rsidP="00E90C21">
      <w:pPr>
        <w:spacing w:after="202"/>
        <w:rPr>
          <w:rFonts w:ascii="Arial" w:hAnsi="Arial" w:cs="Arial"/>
          <w:sz w:val="24"/>
        </w:rPr>
      </w:pPr>
    </w:p>
    <w:p w:rsidR="00E90C21" w:rsidRDefault="00E90C21" w:rsidP="00E90C21">
      <w:pPr>
        <w:spacing w:after="202"/>
        <w:rPr>
          <w:rFonts w:ascii="Arial" w:hAnsi="Arial" w:cs="Arial"/>
          <w:sz w:val="24"/>
        </w:rPr>
      </w:pPr>
    </w:p>
    <w:p w:rsidR="00F4245F" w:rsidRPr="00BB2B56" w:rsidRDefault="005D2318">
      <w:pPr>
        <w:spacing w:after="0" w:line="346" w:lineRule="auto"/>
        <w:ind w:left="2889" w:right="1522" w:hanging="523"/>
        <w:rPr>
          <w:rFonts w:ascii="Arial" w:hAnsi="Arial" w:cs="Arial"/>
          <w:b/>
          <w:sz w:val="24"/>
          <w:szCs w:val="24"/>
        </w:rPr>
      </w:pPr>
      <w:r w:rsidRPr="00BB2B56">
        <w:rPr>
          <w:rFonts w:ascii="Arial" w:hAnsi="Arial" w:cs="Arial"/>
          <w:b/>
          <w:sz w:val="24"/>
          <w:szCs w:val="24"/>
        </w:rPr>
        <w:t>Scottish Courts and Tribunals Service Gender Pay Gap Report 201</w:t>
      </w:r>
      <w:r w:rsidR="00BB2B56" w:rsidRPr="00BB2B56">
        <w:rPr>
          <w:rFonts w:ascii="Arial" w:hAnsi="Arial" w:cs="Arial"/>
          <w:b/>
          <w:sz w:val="24"/>
          <w:szCs w:val="24"/>
        </w:rPr>
        <w:t>9</w:t>
      </w:r>
    </w:p>
    <w:p w:rsidR="00F4245F" w:rsidRPr="00BB2B56" w:rsidRDefault="005D2318">
      <w:pPr>
        <w:spacing w:after="202"/>
        <w:ind w:left="14"/>
        <w:jc w:val="center"/>
        <w:rPr>
          <w:rFonts w:ascii="Arial" w:hAnsi="Arial" w:cs="Arial"/>
          <w:b/>
          <w:sz w:val="24"/>
          <w:szCs w:val="24"/>
        </w:rPr>
      </w:pPr>
      <w:r w:rsidRPr="00BB2B56">
        <w:rPr>
          <w:rFonts w:ascii="Arial" w:hAnsi="Arial" w:cs="Arial"/>
          <w:b/>
          <w:sz w:val="24"/>
          <w:szCs w:val="24"/>
        </w:rPr>
        <w:t xml:space="preserve">Publishing date: </w:t>
      </w:r>
      <w:r w:rsidR="00856A12">
        <w:rPr>
          <w:rFonts w:ascii="Arial" w:hAnsi="Arial" w:cs="Arial"/>
          <w:b/>
          <w:sz w:val="24"/>
          <w:szCs w:val="24"/>
        </w:rPr>
        <w:t>31</w:t>
      </w:r>
      <w:r w:rsidRPr="00BB2B56">
        <w:rPr>
          <w:rFonts w:ascii="Arial" w:hAnsi="Arial" w:cs="Arial"/>
          <w:b/>
          <w:sz w:val="24"/>
          <w:szCs w:val="24"/>
        </w:rPr>
        <w:t xml:space="preserve"> March 20</w:t>
      </w:r>
      <w:r w:rsidR="00BB2B56" w:rsidRPr="00BB2B56">
        <w:rPr>
          <w:rFonts w:ascii="Arial" w:hAnsi="Arial" w:cs="Arial"/>
          <w:b/>
          <w:sz w:val="24"/>
          <w:szCs w:val="24"/>
        </w:rPr>
        <w:t>20</w:t>
      </w:r>
    </w:p>
    <w:p w:rsidR="00D22114" w:rsidRDefault="00D22114" w:rsidP="00D22114">
      <w:pPr>
        <w:spacing w:after="202"/>
        <w:rPr>
          <w:rFonts w:ascii="Arial" w:hAnsi="Arial" w:cs="Arial"/>
          <w:sz w:val="24"/>
        </w:rPr>
      </w:pPr>
    </w:p>
    <w:p w:rsidR="00E90C21" w:rsidRDefault="00E90C21" w:rsidP="00D22114">
      <w:pPr>
        <w:spacing w:after="202"/>
        <w:rPr>
          <w:rFonts w:ascii="Arial" w:hAnsi="Arial" w:cs="Arial"/>
          <w:sz w:val="24"/>
        </w:rPr>
      </w:pPr>
    </w:p>
    <w:p w:rsidR="00F4245F" w:rsidRPr="00D22114" w:rsidRDefault="005D2318" w:rsidP="00D22114">
      <w:pPr>
        <w:pStyle w:val="ListParagraph"/>
        <w:numPr>
          <w:ilvl w:val="0"/>
          <w:numId w:val="5"/>
        </w:numPr>
        <w:spacing w:after="179" w:line="255" w:lineRule="auto"/>
        <w:ind w:right="143"/>
        <w:jc w:val="both"/>
        <w:rPr>
          <w:rFonts w:ascii="Arial" w:hAnsi="Arial" w:cs="Arial"/>
          <w:b/>
          <w:sz w:val="24"/>
          <w:szCs w:val="24"/>
        </w:rPr>
      </w:pPr>
      <w:r w:rsidRPr="00D22114">
        <w:rPr>
          <w:rFonts w:ascii="Arial" w:hAnsi="Arial" w:cs="Arial"/>
          <w:b/>
          <w:sz w:val="24"/>
          <w:szCs w:val="24"/>
        </w:rPr>
        <w:t>Introduction</w:t>
      </w:r>
    </w:p>
    <w:p w:rsidR="00F4245F" w:rsidRPr="00D22114" w:rsidRDefault="005D2318">
      <w:pPr>
        <w:spacing w:after="200" w:line="255" w:lineRule="auto"/>
        <w:ind w:left="38" w:right="143" w:hanging="10"/>
        <w:jc w:val="both"/>
        <w:rPr>
          <w:rFonts w:ascii="Arial" w:hAnsi="Arial" w:cs="Arial"/>
          <w:sz w:val="24"/>
          <w:szCs w:val="24"/>
        </w:rPr>
      </w:pPr>
      <w:r w:rsidRPr="00D22114">
        <w:rPr>
          <w:rFonts w:ascii="Arial" w:hAnsi="Arial" w:cs="Arial"/>
          <w:sz w:val="24"/>
          <w:szCs w:val="24"/>
        </w:rPr>
        <w:t>The Gender Pay Gap (GPG) is a measure of the difference between women and men's average earnings across an organisation. Scottish Courts and Tribunals Service (SCTS) is required by law to publish an annual G</w:t>
      </w:r>
      <w:r w:rsidR="009E2C25">
        <w:rPr>
          <w:rFonts w:ascii="Arial" w:hAnsi="Arial" w:cs="Arial"/>
          <w:sz w:val="24"/>
          <w:szCs w:val="24"/>
        </w:rPr>
        <w:t>PG report and this is the third</w:t>
      </w:r>
      <w:r w:rsidRPr="00D22114">
        <w:rPr>
          <w:rFonts w:ascii="Arial" w:hAnsi="Arial" w:cs="Arial"/>
          <w:sz w:val="24"/>
          <w:szCs w:val="24"/>
        </w:rPr>
        <w:t xml:space="preserve"> year that SCTS has reported on their gender pay gap. A report is published each March.</w:t>
      </w:r>
    </w:p>
    <w:p w:rsidR="00F4245F" w:rsidRPr="00D22114" w:rsidRDefault="005D2318">
      <w:pPr>
        <w:spacing w:after="229" w:line="224" w:lineRule="auto"/>
        <w:ind w:left="19" w:right="278" w:firstLine="4"/>
        <w:jc w:val="both"/>
        <w:rPr>
          <w:rFonts w:ascii="Arial" w:hAnsi="Arial" w:cs="Arial"/>
          <w:sz w:val="24"/>
          <w:szCs w:val="24"/>
        </w:rPr>
      </w:pPr>
      <w:r w:rsidRPr="00D22114">
        <w:rPr>
          <w:rFonts w:ascii="Arial" w:hAnsi="Arial" w:cs="Arial"/>
          <w:sz w:val="24"/>
          <w:szCs w:val="24"/>
        </w:rPr>
        <w:lastRenderedPageBreak/>
        <w:t>The GPG data supplied is correct for all SCTS staff in post on 31 March 201</w:t>
      </w:r>
      <w:r w:rsidR="00856A12">
        <w:rPr>
          <w:rFonts w:ascii="Arial" w:hAnsi="Arial" w:cs="Arial"/>
          <w:sz w:val="24"/>
          <w:szCs w:val="24"/>
        </w:rPr>
        <w:t>9</w:t>
      </w:r>
      <w:r w:rsidRPr="00D22114">
        <w:rPr>
          <w:rFonts w:ascii="Arial" w:hAnsi="Arial" w:cs="Arial"/>
          <w:sz w:val="24"/>
          <w:szCs w:val="24"/>
        </w:rPr>
        <w:t xml:space="preserve"> (the snapshot date for the purpose of GPG reporting). The calculations are based on standard methodologies used in the Equality Act 2010 (Gender Pay Gap Information) Regulations 2017.</w:t>
      </w:r>
    </w:p>
    <w:p w:rsidR="00F4245F" w:rsidRPr="00D22114" w:rsidRDefault="005D2318">
      <w:pPr>
        <w:spacing w:after="191" w:line="224" w:lineRule="auto"/>
        <w:ind w:left="19" w:firstLine="4"/>
        <w:jc w:val="both"/>
        <w:rPr>
          <w:rFonts w:ascii="Arial" w:hAnsi="Arial" w:cs="Arial"/>
          <w:sz w:val="24"/>
          <w:szCs w:val="24"/>
        </w:rPr>
      </w:pPr>
      <w:r w:rsidRPr="00D22114">
        <w:rPr>
          <w:rFonts w:ascii="Arial" w:hAnsi="Arial" w:cs="Arial"/>
          <w:sz w:val="24"/>
          <w:szCs w:val="24"/>
        </w:rPr>
        <w:t>Each metric is presented as a percentage figure and shows how large the pay gap is between female and male employees in SCTS. The metrics set out in the Regulations, relevant to SCTS, are:</w:t>
      </w:r>
    </w:p>
    <w:p w:rsidR="00F4245F" w:rsidRPr="00D22114" w:rsidRDefault="005D2318">
      <w:pPr>
        <w:numPr>
          <w:ilvl w:val="0"/>
          <w:numId w:val="1"/>
        </w:numPr>
        <w:spacing w:after="229" w:line="224" w:lineRule="auto"/>
        <w:ind w:hanging="288"/>
        <w:jc w:val="both"/>
        <w:rPr>
          <w:rFonts w:ascii="Arial" w:hAnsi="Arial" w:cs="Arial"/>
          <w:sz w:val="24"/>
          <w:szCs w:val="24"/>
        </w:rPr>
      </w:pPr>
      <w:r w:rsidRPr="00D22114">
        <w:rPr>
          <w:rFonts w:ascii="Arial" w:hAnsi="Arial" w:cs="Arial"/>
          <w:sz w:val="24"/>
          <w:szCs w:val="24"/>
        </w:rPr>
        <w:t>the difference in the mean hourly rate of pay between female and male full pay relevant employees;</w:t>
      </w:r>
    </w:p>
    <w:p w:rsidR="00F4245F" w:rsidRPr="00D22114" w:rsidRDefault="005D2318">
      <w:pPr>
        <w:numPr>
          <w:ilvl w:val="0"/>
          <w:numId w:val="1"/>
        </w:numPr>
        <w:spacing w:after="229" w:line="224" w:lineRule="auto"/>
        <w:ind w:hanging="288"/>
        <w:jc w:val="both"/>
        <w:rPr>
          <w:rFonts w:ascii="Arial" w:hAnsi="Arial" w:cs="Arial"/>
          <w:sz w:val="24"/>
          <w:szCs w:val="24"/>
        </w:rPr>
      </w:pPr>
      <w:r w:rsidRPr="00D22114">
        <w:rPr>
          <w:rFonts w:ascii="Arial" w:hAnsi="Arial" w:cs="Arial"/>
          <w:sz w:val="24"/>
          <w:szCs w:val="24"/>
        </w:rPr>
        <w:t>the difference in the median hourly rate of pay between female and male full pay relevant employees;</w:t>
      </w:r>
    </w:p>
    <w:p w:rsidR="00F4245F" w:rsidRPr="00D22114" w:rsidRDefault="005D2318">
      <w:pPr>
        <w:numPr>
          <w:ilvl w:val="0"/>
          <w:numId w:val="1"/>
        </w:numPr>
        <w:spacing w:after="229" w:line="224" w:lineRule="auto"/>
        <w:ind w:hanging="288"/>
        <w:jc w:val="both"/>
        <w:rPr>
          <w:rFonts w:ascii="Arial" w:hAnsi="Arial" w:cs="Arial"/>
          <w:sz w:val="24"/>
          <w:szCs w:val="24"/>
        </w:rPr>
      </w:pPr>
      <w:r w:rsidRPr="00D22114">
        <w:rPr>
          <w:rFonts w:ascii="Arial" w:hAnsi="Arial" w:cs="Arial"/>
          <w:sz w:val="24"/>
          <w:szCs w:val="24"/>
        </w:rPr>
        <w:t>the proportions of female and male full pay relevant employees in each of the four quartile pay bands.</w:t>
      </w:r>
    </w:p>
    <w:p w:rsidR="00F4245F" w:rsidRDefault="005D2318">
      <w:pPr>
        <w:spacing w:after="229" w:line="224" w:lineRule="auto"/>
        <w:ind w:left="19" w:firstLine="4"/>
        <w:jc w:val="both"/>
        <w:rPr>
          <w:rFonts w:ascii="Arial" w:hAnsi="Arial" w:cs="Arial"/>
          <w:sz w:val="24"/>
          <w:szCs w:val="24"/>
        </w:rPr>
      </w:pPr>
      <w:r w:rsidRPr="00D22114">
        <w:rPr>
          <w:rFonts w:ascii="Arial" w:hAnsi="Arial" w:cs="Arial"/>
          <w:sz w:val="24"/>
          <w:szCs w:val="24"/>
        </w:rPr>
        <w:t>Gender pay is different to equal pay, which is a legislative act to prevent pay discrimination between female and male employees performing the same or similar work. SCTS is fully compliant with equal pay legislation and publishes an Equal Pay Statement every 4 years.</w:t>
      </w:r>
    </w:p>
    <w:p w:rsidR="00856A12" w:rsidRPr="00D22114" w:rsidRDefault="00856A12">
      <w:pPr>
        <w:spacing w:after="229" w:line="224" w:lineRule="auto"/>
        <w:ind w:left="19" w:firstLine="4"/>
        <w:jc w:val="both"/>
        <w:rPr>
          <w:rFonts w:ascii="Arial" w:hAnsi="Arial" w:cs="Arial"/>
          <w:sz w:val="24"/>
          <w:szCs w:val="24"/>
        </w:rPr>
      </w:pPr>
    </w:p>
    <w:p w:rsidR="00F4245F" w:rsidRPr="00D22114" w:rsidRDefault="005D2318" w:rsidP="00D22114">
      <w:pPr>
        <w:pStyle w:val="ListParagraph"/>
        <w:numPr>
          <w:ilvl w:val="0"/>
          <w:numId w:val="5"/>
        </w:numPr>
        <w:spacing w:after="179" w:line="255" w:lineRule="auto"/>
        <w:ind w:right="143"/>
        <w:jc w:val="both"/>
        <w:rPr>
          <w:rFonts w:ascii="Arial" w:hAnsi="Arial" w:cs="Arial"/>
          <w:b/>
          <w:sz w:val="24"/>
          <w:szCs w:val="24"/>
        </w:rPr>
      </w:pPr>
      <w:r w:rsidRPr="00D22114">
        <w:rPr>
          <w:rFonts w:ascii="Arial" w:hAnsi="Arial" w:cs="Arial"/>
          <w:b/>
          <w:sz w:val="24"/>
          <w:szCs w:val="24"/>
        </w:rPr>
        <w:t>SCTS Workforce</w:t>
      </w:r>
    </w:p>
    <w:p w:rsidR="00F4245F" w:rsidRDefault="005D2318">
      <w:pPr>
        <w:spacing w:after="5" w:line="255" w:lineRule="auto"/>
        <w:ind w:left="38" w:right="143" w:hanging="10"/>
        <w:jc w:val="both"/>
        <w:rPr>
          <w:rFonts w:ascii="Arial" w:hAnsi="Arial" w:cs="Arial"/>
          <w:sz w:val="24"/>
          <w:szCs w:val="24"/>
        </w:rPr>
      </w:pPr>
      <w:r w:rsidRPr="00D22114">
        <w:rPr>
          <w:rFonts w:ascii="Arial" w:hAnsi="Arial" w:cs="Arial"/>
          <w:sz w:val="24"/>
          <w:szCs w:val="24"/>
        </w:rPr>
        <w:t>The number of SCTS staff in post on 31 March 201</w:t>
      </w:r>
      <w:r w:rsidR="00856A12">
        <w:rPr>
          <w:rFonts w:ascii="Arial" w:hAnsi="Arial" w:cs="Arial"/>
          <w:sz w:val="24"/>
          <w:szCs w:val="24"/>
        </w:rPr>
        <w:t>9</w:t>
      </w:r>
      <w:r w:rsidRPr="00D22114">
        <w:rPr>
          <w:rFonts w:ascii="Arial" w:hAnsi="Arial" w:cs="Arial"/>
          <w:sz w:val="24"/>
          <w:szCs w:val="24"/>
        </w:rPr>
        <w:t xml:space="preserve"> was 17</w:t>
      </w:r>
      <w:r w:rsidR="00856A12">
        <w:rPr>
          <w:rFonts w:ascii="Arial" w:hAnsi="Arial" w:cs="Arial"/>
          <w:sz w:val="24"/>
          <w:szCs w:val="24"/>
        </w:rPr>
        <w:t>87</w:t>
      </w:r>
      <w:r w:rsidRPr="00D22114">
        <w:rPr>
          <w:rFonts w:ascii="Arial" w:hAnsi="Arial" w:cs="Arial"/>
          <w:sz w:val="24"/>
          <w:szCs w:val="24"/>
        </w:rPr>
        <w:t>. 66% were female and 34% were male (see Figure A).</w:t>
      </w:r>
    </w:p>
    <w:p w:rsidR="00856A12" w:rsidRPr="00D22114" w:rsidRDefault="00856A12">
      <w:pPr>
        <w:spacing w:after="5" w:line="255" w:lineRule="auto"/>
        <w:ind w:left="38" w:right="143" w:hanging="10"/>
        <w:jc w:val="both"/>
        <w:rPr>
          <w:rFonts w:ascii="Arial" w:hAnsi="Arial" w:cs="Arial"/>
          <w:sz w:val="24"/>
          <w:szCs w:val="24"/>
        </w:rPr>
      </w:pPr>
    </w:p>
    <w:p w:rsidR="00F4245F" w:rsidRPr="00856A12" w:rsidRDefault="005D2318">
      <w:pPr>
        <w:spacing w:after="5" w:line="255" w:lineRule="auto"/>
        <w:ind w:left="38" w:right="143" w:hanging="10"/>
        <w:jc w:val="both"/>
        <w:rPr>
          <w:rFonts w:ascii="Arial" w:hAnsi="Arial" w:cs="Arial"/>
          <w:b/>
          <w:sz w:val="24"/>
          <w:szCs w:val="24"/>
        </w:rPr>
      </w:pPr>
      <w:r w:rsidRPr="00856A12">
        <w:rPr>
          <w:rFonts w:ascii="Arial" w:hAnsi="Arial" w:cs="Arial"/>
          <w:b/>
          <w:sz w:val="24"/>
          <w:szCs w:val="24"/>
        </w:rPr>
        <w:t>Figure A - Total full time relevant employees 17</w:t>
      </w:r>
      <w:r w:rsidR="00856A12" w:rsidRPr="00856A12">
        <w:rPr>
          <w:rFonts w:ascii="Arial" w:hAnsi="Arial" w:cs="Arial"/>
          <w:b/>
          <w:sz w:val="24"/>
          <w:szCs w:val="24"/>
        </w:rPr>
        <w:t>87</w:t>
      </w:r>
    </w:p>
    <w:p w:rsidR="00666572" w:rsidRDefault="00666572">
      <w:pPr>
        <w:spacing w:after="5" w:line="255" w:lineRule="auto"/>
        <w:ind w:left="38" w:right="143" w:hanging="10"/>
        <w:jc w:val="both"/>
        <w:rPr>
          <w:rFonts w:ascii="Arial" w:hAnsi="Arial" w:cs="Arial"/>
          <w:sz w:val="24"/>
          <w:szCs w:val="24"/>
        </w:rPr>
      </w:pPr>
    </w:p>
    <w:p w:rsidR="00666572" w:rsidRDefault="00D01376" w:rsidP="00666572">
      <w:pPr>
        <w:spacing w:after="5" w:line="255" w:lineRule="auto"/>
        <w:ind w:left="38" w:right="143" w:hanging="10"/>
        <w:jc w:val="center"/>
        <w:rPr>
          <w:rFonts w:ascii="Arial" w:hAnsi="Arial" w:cs="Arial"/>
          <w:sz w:val="24"/>
          <w:szCs w:val="24"/>
        </w:rPr>
      </w:pPr>
      <w:r>
        <w:rPr>
          <w:noProof/>
        </w:rPr>
        <w:drawing>
          <wp:inline distT="0" distB="0" distL="0" distR="0" wp14:anchorId="69FA5DC8" wp14:editId="44ECC455">
            <wp:extent cx="4508390" cy="3061253"/>
            <wp:effectExtent l="0" t="0" r="26035"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1376" w:rsidRDefault="00D01376" w:rsidP="00666572">
      <w:pPr>
        <w:spacing w:after="5" w:line="255" w:lineRule="auto"/>
        <w:ind w:left="38" w:right="143" w:hanging="10"/>
        <w:jc w:val="center"/>
        <w:rPr>
          <w:rFonts w:ascii="Arial" w:hAnsi="Arial" w:cs="Arial"/>
          <w:sz w:val="24"/>
          <w:szCs w:val="24"/>
        </w:rPr>
      </w:pPr>
    </w:p>
    <w:p w:rsidR="00D01376" w:rsidRPr="00D22114" w:rsidRDefault="00D01376" w:rsidP="00D01376">
      <w:pPr>
        <w:spacing w:after="291" w:line="224" w:lineRule="auto"/>
        <w:ind w:left="19" w:right="82" w:firstLine="4"/>
        <w:jc w:val="both"/>
        <w:rPr>
          <w:rFonts w:ascii="Arial" w:hAnsi="Arial" w:cs="Arial"/>
          <w:sz w:val="24"/>
          <w:szCs w:val="24"/>
        </w:rPr>
      </w:pPr>
      <w:r w:rsidRPr="00D22114">
        <w:rPr>
          <w:rFonts w:ascii="Arial" w:hAnsi="Arial" w:cs="Arial"/>
          <w:sz w:val="24"/>
          <w:szCs w:val="24"/>
        </w:rPr>
        <w:t>Of the 17</w:t>
      </w:r>
      <w:r>
        <w:rPr>
          <w:rFonts w:ascii="Arial" w:hAnsi="Arial" w:cs="Arial"/>
          <w:sz w:val="24"/>
          <w:szCs w:val="24"/>
        </w:rPr>
        <w:t>87</w:t>
      </w:r>
      <w:r w:rsidRPr="00D22114">
        <w:rPr>
          <w:rFonts w:ascii="Arial" w:hAnsi="Arial" w:cs="Arial"/>
          <w:sz w:val="24"/>
          <w:szCs w:val="24"/>
        </w:rPr>
        <w:t xml:space="preserve"> staff in post, </w:t>
      </w:r>
      <w:r>
        <w:rPr>
          <w:rFonts w:ascii="Arial" w:hAnsi="Arial" w:cs="Arial"/>
          <w:sz w:val="24"/>
          <w:szCs w:val="24"/>
        </w:rPr>
        <w:t>57</w:t>
      </w:r>
      <w:r w:rsidRPr="00D22114">
        <w:rPr>
          <w:rFonts w:ascii="Arial" w:hAnsi="Arial" w:cs="Arial"/>
          <w:sz w:val="24"/>
          <w:szCs w:val="24"/>
        </w:rPr>
        <w:t xml:space="preserve"> individuals were excluded from the</w:t>
      </w:r>
      <w:r w:rsidR="00561761">
        <w:rPr>
          <w:rFonts w:ascii="Arial" w:hAnsi="Arial" w:cs="Arial"/>
          <w:sz w:val="24"/>
          <w:szCs w:val="24"/>
        </w:rPr>
        <w:t xml:space="preserve"> </w:t>
      </w:r>
      <w:r w:rsidRPr="00D22114">
        <w:rPr>
          <w:rFonts w:ascii="Arial" w:hAnsi="Arial" w:cs="Arial"/>
          <w:sz w:val="24"/>
          <w:szCs w:val="24"/>
        </w:rPr>
        <w:t>calculations in line with official guidance as these employees would not reflect a true hourly rate as part of the gender pay gap analysis. The exclusions were:</w:t>
      </w:r>
    </w:p>
    <w:p w:rsidR="00D01376" w:rsidRPr="00D22114" w:rsidRDefault="00D01376" w:rsidP="00D01376">
      <w:pPr>
        <w:numPr>
          <w:ilvl w:val="1"/>
          <w:numId w:val="2"/>
        </w:numPr>
        <w:spacing w:after="38" w:line="224" w:lineRule="auto"/>
        <w:ind w:hanging="370"/>
        <w:jc w:val="both"/>
        <w:rPr>
          <w:rFonts w:ascii="Arial" w:hAnsi="Arial" w:cs="Arial"/>
          <w:sz w:val="24"/>
          <w:szCs w:val="24"/>
        </w:rPr>
      </w:pPr>
      <w:r w:rsidRPr="00D22114">
        <w:rPr>
          <w:rFonts w:ascii="Arial" w:hAnsi="Arial" w:cs="Arial"/>
          <w:sz w:val="24"/>
          <w:szCs w:val="24"/>
        </w:rPr>
        <w:lastRenderedPageBreak/>
        <w:t>13 individuals who were employed on a fee basis</w:t>
      </w:r>
    </w:p>
    <w:p w:rsidR="00D01376" w:rsidRPr="00D22114" w:rsidRDefault="00D01376" w:rsidP="00D01376">
      <w:pPr>
        <w:numPr>
          <w:ilvl w:val="1"/>
          <w:numId w:val="2"/>
        </w:numPr>
        <w:spacing w:after="33" w:line="224" w:lineRule="auto"/>
        <w:ind w:hanging="370"/>
        <w:jc w:val="both"/>
        <w:rPr>
          <w:rFonts w:ascii="Arial" w:hAnsi="Arial" w:cs="Arial"/>
          <w:sz w:val="24"/>
          <w:szCs w:val="24"/>
        </w:rPr>
      </w:pPr>
      <w:r>
        <w:rPr>
          <w:rFonts w:ascii="Arial" w:hAnsi="Arial" w:cs="Arial"/>
          <w:sz w:val="24"/>
          <w:szCs w:val="24"/>
        </w:rPr>
        <w:t>36</w:t>
      </w:r>
      <w:r w:rsidRPr="00D22114">
        <w:rPr>
          <w:rFonts w:ascii="Arial" w:hAnsi="Arial" w:cs="Arial"/>
          <w:sz w:val="24"/>
          <w:szCs w:val="24"/>
        </w:rPr>
        <w:t xml:space="preserve"> individuals who were excluded due to sickness, maternity and/or due to part month calculations for New Starts and Leavers</w:t>
      </w:r>
    </w:p>
    <w:p w:rsidR="00D01376" w:rsidRPr="00D22114" w:rsidRDefault="00D01376" w:rsidP="00D01376">
      <w:pPr>
        <w:numPr>
          <w:ilvl w:val="1"/>
          <w:numId w:val="2"/>
        </w:numPr>
        <w:spacing w:after="289" w:line="224" w:lineRule="auto"/>
        <w:ind w:hanging="370"/>
        <w:jc w:val="both"/>
        <w:rPr>
          <w:rFonts w:ascii="Arial" w:hAnsi="Arial" w:cs="Arial"/>
          <w:sz w:val="24"/>
          <w:szCs w:val="24"/>
        </w:rPr>
      </w:pPr>
      <w:r w:rsidRPr="00D22114">
        <w:rPr>
          <w:rFonts w:ascii="Arial" w:hAnsi="Arial" w:cs="Arial"/>
          <w:sz w:val="24"/>
          <w:szCs w:val="24"/>
        </w:rPr>
        <w:t>8 individuals were not on the officially published SCTS pay scales - 6 are covered by TUPE regulations and 2 are on Scottish Government terms and conditions.</w:t>
      </w:r>
    </w:p>
    <w:p w:rsidR="00323DFC" w:rsidRDefault="007962DF" w:rsidP="00323DFC">
      <w:pPr>
        <w:spacing w:after="179" w:line="255" w:lineRule="auto"/>
        <w:ind w:right="143"/>
        <w:jc w:val="both"/>
        <w:rPr>
          <w:rFonts w:ascii="Arial" w:hAnsi="Arial" w:cs="Arial"/>
          <w:sz w:val="24"/>
          <w:szCs w:val="24"/>
        </w:rPr>
      </w:pPr>
      <w:r>
        <w:rPr>
          <w:rFonts w:ascii="Arial" w:hAnsi="Arial" w:cs="Arial"/>
          <w:sz w:val="24"/>
          <w:szCs w:val="24"/>
        </w:rPr>
        <w:t xml:space="preserve">Therefore there are 1730 </w:t>
      </w:r>
      <w:r w:rsidR="0027722D">
        <w:rPr>
          <w:rFonts w:ascii="Arial" w:hAnsi="Arial" w:cs="Arial"/>
          <w:sz w:val="24"/>
          <w:szCs w:val="24"/>
        </w:rPr>
        <w:t xml:space="preserve">eligible </w:t>
      </w:r>
      <w:r>
        <w:rPr>
          <w:rFonts w:ascii="Arial" w:hAnsi="Arial" w:cs="Arial"/>
          <w:sz w:val="24"/>
          <w:szCs w:val="24"/>
        </w:rPr>
        <w:t xml:space="preserve">staff included in the following analysis with a split of 66% female and 34% male which is identical to the </w:t>
      </w:r>
      <w:r w:rsidR="00854C8E">
        <w:rPr>
          <w:rFonts w:ascii="Arial" w:hAnsi="Arial" w:cs="Arial"/>
          <w:sz w:val="24"/>
          <w:szCs w:val="24"/>
        </w:rPr>
        <w:t xml:space="preserve">split for the </w:t>
      </w:r>
      <w:r>
        <w:rPr>
          <w:rFonts w:ascii="Arial" w:hAnsi="Arial" w:cs="Arial"/>
          <w:sz w:val="24"/>
          <w:szCs w:val="24"/>
        </w:rPr>
        <w:t>whole workforce</w:t>
      </w:r>
      <w:r w:rsidR="00854C8E">
        <w:rPr>
          <w:rFonts w:ascii="Arial" w:hAnsi="Arial" w:cs="Arial"/>
          <w:sz w:val="24"/>
          <w:szCs w:val="24"/>
        </w:rPr>
        <w:t xml:space="preserve"> of 1787 staff</w:t>
      </w:r>
      <w:r>
        <w:rPr>
          <w:rFonts w:ascii="Arial" w:hAnsi="Arial" w:cs="Arial"/>
          <w:sz w:val="24"/>
          <w:szCs w:val="24"/>
        </w:rPr>
        <w:t xml:space="preserve">.  </w:t>
      </w:r>
    </w:p>
    <w:p w:rsidR="007962DF" w:rsidRPr="00323DFC" w:rsidRDefault="007962DF" w:rsidP="00323DFC">
      <w:pPr>
        <w:spacing w:after="179" w:line="255" w:lineRule="auto"/>
        <w:ind w:right="143"/>
        <w:jc w:val="both"/>
        <w:rPr>
          <w:rFonts w:ascii="Arial" w:hAnsi="Arial" w:cs="Arial"/>
          <w:sz w:val="24"/>
          <w:szCs w:val="24"/>
        </w:rPr>
      </w:pPr>
    </w:p>
    <w:p w:rsidR="00F4245F" w:rsidRPr="00D22114" w:rsidRDefault="005D2318" w:rsidP="00D22114">
      <w:pPr>
        <w:pStyle w:val="ListParagraph"/>
        <w:numPr>
          <w:ilvl w:val="0"/>
          <w:numId w:val="5"/>
        </w:numPr>
        <w:spacing w:after="179" w:line="255" w:lineRule="auto"/>
        <w:ind w:right="143"/>
        <w:jc w:val="both"/>
        <w:rPr>
          <w:rFonts w:ascii="Arial" w:hAnsi="Arial" w:cs="Arial"/>
          <w:b/>
          <w:sz w:val="24"/>
          <w:szCs w:val="24"/>
        </w:rPr>
      </w:pPr>
      <w:r w:rsidRPr="00D22114">
        <w:rPr>
          <w:rFonts w:ascii="Arial" w:hAnsi="Arial" w:cs="Arial"/>
          <w:b/>
          <w:sz w:val="24"/>
          <w:szCs w:val="24"/>
        </w:rPr>
        <w:t>SCTS Gender Pay Results - Mean and Median Pay</w:t>
      </w:r>
    </w:p>
    <w:p w:rsidR="00F4245F" w:rsidRPr="00D22114" w:rsidRDefault="005D2318">
      <w:pPr>
        <w:spacing w:after="206" w:line="216" w:lineRule="auto"/>
        <w:ind w:left="24" w:firstLine="14"/>
        <w:rPr>
          <w:rFonts w:ascii="Arial" w:hAnsi="Arial" w:cs="Arial"/>
          <w:sz w:val="24"/>
          <w:szCs w:val="24"/>
        </w:rPr>
      </w:pPr>
      <w:r w:rsidRPr="00D22114">
        <w:rPr>
          <w:rFonts w:ascii="Arial" w:hAnsi="Arial" w:cs="Arial"/>
          <w:sz w:val="24"/>
          <w:szCs w:val="24"/>
        </w:rPr>
        <w:t xml:space="preserve">Mean is defined as the sum of all values divided by the number of relevant </w:t>
      </w:r>
      <w:r w:rsidR="00854C8E">
        <w:rPr>
          <w:rFonts w:ascii="Arial" w:hAnsi="Arial" w:cs="Arial"/>
          <w:sz w:val="24"/>
          <w:szCs w:val="24"/>
        </w:rPr>
        <w:t>values</w:t>
      </w:r>
      <w:r w:rsidRPr="00D22114">
        <w:rPr>
          <w:rFonts w:ascii="Arial" w:hAnsi="Arial" w:cs="Arial"/>
          <w:sz w:val="24"/>
          <w:szCs w:val="24"/>
        </w:rPr>
        <w:t xml:space="preserve">. The mean pay gap is the difference between average hourly </w:t>
      </w:r>
      <w:r w:rsidR="00854C8E">
        <w:rPr>
          <w:rFonts w:ascii="Arial" w:hAnsi="Arial" w:cs="Arial"/>
          <w:sz w:val="24"/>
          <w:szCs w:val="24"/>
        </w:rPr>
        <w:t xml:space="preserve">rate of pay </w:t>
      </w:r>
      <w:r w:rsidRPr="00D22114">
        <w:rPr>
          <w:rFonts w:ascii="Arial" w:hAnsi="Arial" w:cs="Arial"/>
          <w:sz w:val="24"/>
          <w:szCs w:val="24"/>
        </w:rPr>
        <w:t>of female and male staff. The average hourly rate for a female was £</w:t>
      </w:r>
      <w:r w:rsidR="00666572">
        <w:rPr>
          <w:rFonts w:ascii="Arial" w:hAnsi="Arial" w:cs="Arial"/>
          <w:sz w:val="24"/>
          <w:szCs w:val="24"/>
        </w:rPr>
        <w:t>13.12</w:t>
      </w:r>
      <w:r w:rsidRPr="00D22114">
        <w:rPr>
          <w:rFonts w:ascii="Arial" w:hAnsi="Arial" w:cs="Arial"/>
          <w:sz w:val="24"/>
          <w:szCs w:val="24"/>
        </w:rPr>
        <w:t>. For a male, the rate was £</w:t>
      </w:r>
      <w:r w:rsidR="00666572">
        <w:rPr>
          <w:rFonts w:ascii="Arial" w:hAnsi="Arial" w:cs="Arial"/>
          <w:sz w:val="24"/>
          <w:szCs w:val="24"/>
        </w:rPr>
        <w:t>13.58</w:t>
      </w:r>
      <w:r w:rsidRPr="00D22114">
        <w:rPr>
          <w:rFonts w:ascii="Arial" w:hAnsi="Arial" w:cs="Arial"/>
          <w:sz w:val="24"/>
          <w:szCs w:val="24"/>
        </w:rPr>
        <w:t xml:space="preserve">. SCTS has a </w:t>
      </w:r>
      <w:r w:rsidR="00854C8E">
        <w:rPr>
          <w:rFonts w:ascii="Arial" w:hAnsi="Arial" w:cs="Arial"/>
          <w:sz w:val="24"/>
          <w:szCs w:val="24"/>
        </w:rPr>
        <w:t>m</w:t>
      </w:r>
      <w:r w:rsidRPr="00D22114">
        <w:rPr>
          <w:rFonts w:ascii="Arial" w:hAnsi="Arial" w:cs="Arial"/>
          <w:sz w:val="24"/>
          <w:szCs w:val="24"/>
        </w:rPr>
        <w:t xml:space="preserve">ean gender pay gap of </w:t>
      </w:r>
      <w:r w:rsidR="00666572">
        <w:rPr>
          <w:rFonts w:ascii="Arial" w:hAnsi="Arial" w:cs="Arial"/>
          <w:sz w:val="24"/>
          <w:szCs w:val="24"/>
        </w:rPr>
        <w:t>3.4</w:t>
      </w:r>
      <w:r w:rsidRPr="00D22114">
        <w:rPr>
          <w:rFonts w:ascii="Arial" w:hAnsi="Arial" w:cs="Arial"/>
          <w:sz w:val="24"/>
          <w:szCs w:val="24"/>
        </w:rPr>
        <w:t>% (Figure B).</w:t>
      </w:r>
    </w:p>
    <w:p w:rsidR="00F4245F" w:rsidRPr="00D22114" w:rsidRDefault="005D2318">
      <w:pPr>
        <w:spacing w:after="229" w:line="224" w:lineRule="auto"/>
        <w:ind w:left="19" w:firstLine="4"/>
        <w:jc w:val="both"/>
        <w:rPr>
          <w:rFonts w:ascii="Arial" w:hAnsi="Arial" w:cs="Arial"/>
          <w:sz w:val="24"/>
          <w:szCs w:val="24"/>
        </w:rPr>
      </w:pPr>
      <w:r w:rsidRPr="00D22114">
        <w:rPr>
          <w:rFonts w:ascii="Arial" w:hAnsi="Arial" w:cs="Arial"/>
          <w:sz w:val="24"/>
          <w:szCs w:val="24"/>
        </w:rPr>
        <w:t xml:space="preserve">Median is defined as the middle value in the list of amounts when in ascending order. The median pay gap is the difference between the midpoints in the range of hourly </w:t>
      </w:r>
      <w:r w:rsidR="00854C8E">
        <w:rPr>
          <w:rFonts w:ascii="Arial" w:hAnsi="Arial" w:cs="Arial"/>
          <w:sz w:val="24"/>
          <w:szCs w:val="24"/>
        </w:rPr>
        <w:t>rate of pay</w:t>
      </w:r>
      <w:r w:rsidRPr="00D22114">
        <w:rPr>
          <w:rFonts w:ascii="Arial" w:hAnsi="Arial" w:cs="Arial"/>
          <w:sz w:val="24"/>
          <w:szCs w:val="24"/>
        </w:rPr>
        <w:t xml:space="preserve"> of female and male staff. The median information for both female and male staff </w:t>
      </w:r>
      <w:r w:rsidRPr="00D22114">
        <w:rPr>
          <w:rFonts w:ascii="Arial" w:hAnsi="Arial" w:cs="Arial"/>
          <w:sz w:val="24"/>
          <w:szCs w:val="24"/>
        </w:rPr>
        <w:lastRenderedPageBreak/>
        <w:t>was £</w:t>
      </w:r>
      <w:r w:rsidR="00666572">
        <w:rPr>
          <w:rFonts w:ascii="Arial" w:hAnsi="Arial" w:cs="Arial"/>
          <w:sz w:val="24"/>
          <w:szCs w:val="24"/>
        </w:rPr>
        <w:t>11.04</w:t>
      </w:r>
      <w:r w:rsidRPr="00D22114">
        <w:rPr>
          <w:rFonts w:ascii="Arial" w:hAnsi="Arial" w:cs="Arial"/>
          <w:sz w:val="24"/>
          <w:szCs w:val="24"/>
        </w:rPr>
        <w:t xml:space="preserve">, resulting in a 0% difference. SCTS has a </w:t>
      </w:r>
      <w:r w:rsidR="00854C8E">
        <w:rPr>
          <w:rFonts w:ascii="Arial" w:hAnsi="Arial" w:cs="Arial"/>
          <w:sz w:val="24"/>
          <w:szCs w:val="24"/>
        </w:rPr>
        <w:t>m</w:t>
      </w:r>
      <w:r w:rsidRPr="00D22114">
        <w:rPr>
          <w:rFonts w:ascii="Arial" w:hAnsi="Arial" w:cs="Arial"/>
          <w:sz w:val="24"/>
          <w:szCs w:val="24"/>
        </w:rPr>
        <w:t>edian gender pay gap of 0% (Figure B).</w:t>
      </w:r>
    </w:p>
    <w:p w:rsidR="00F4245F" w:rsidRDefault="005D2318">
      <w:pPr>
        <w:spacing w:after="229" w:line="224" w:lineRule="auto"/>
        <w:ind w:left="19" w:firstLine="4"/>
        <w:jc w:val="both"/>
        <w:rPr>
          <w:rFonts w:ascii="Arial" w:hAnsi="Arial" w:cs="Arial"/>
          <w:sz w:val="24"/>
          <w:szCs w:val="24"/>
        </w:rPr>
      </w:pPr>
      <w:r w:rsidRPr="00D22114">
        <w:rPr>
          <w:rFonts w:ascii="Arial" w:hAnsi="Arial" w:cs="Arial"/>
          <w:sz w:val="24"/>
          <w:szCs w:val="24"/>
        </w:rPr>
        <w:t>SCTS does not award bonus payments therefore we are not able to report a bonus gender pay gap as defined in the Regulations.</w:t>
      </w:r>
    </w:p>
    <w:p w:rsidR="009E2C25" w:rsidRDefault="009E2C25">
      <w:pPr>
        <w:spacing w:after="229" w:line="224" w:lineRule="auto"/>
        <w:ind w:left="19" w:firstLine="4"/>
        <w:jc w:val="both"/>
        <w:rPr>
          <w:rFonts w:ascii="Arial" w:hAnsi="Arial" w:cs="Arial"/>
          <w:sz w:val="24"/>
          <w:szCs w:val="24"/>
        </w:rPr>
      </w:pPr>
    </w:p>
    <w:p w:rsidR="00F4245F" w:rsidRPr="00666572" w:rsidRDefault="005D2318">
      <w:pPr>
        <w:spacing w:after="0"/>
        <w:ind w:left="29"/>
        <w:rPr>
          <w:rFonts w:ascii="Arial" w:hAnsi="Arial" w:cs="Arial"/>
          <w:b/>
          <w:sz w:val="24"/>
          <w:szCs w:val="24"/>
        </w:rPr>
      </w:pPr>
      <w:r w:rsidRPr="00666572">
        <w:rPr>
          <w:rFonts w:ascii="Arial" w:hAnsi="Arial" w:cs="Arial"/>
          <w:b/>
          <w:sz w:val="24"/>
          <w:szCs w:val="24"/>
        </w:rPr>
        <w:t>Figure B — Mean &amp; Median Hourly Pay Gap</w:t>
      </w:r>
    </w:p>
    <w:p w:rsidR="00666572" w:rsidRDefault="00666572">
      <w:pPr>
        <w:spacing w:after="0"/>
        <w:ind w:left="29"/>
        <w:rPr>
          <w:rFonts w:ascii="Arial" w:hAnsi="Arial" w:cs="Arial"/>
          <w:sz w:val="24"/>
          <w:szCs w:val="24"/>
        </w:rPr>
      </w:pPr>
    </w:p>
    <w:tbl>
      <w:tblPr>
        <w:tblW w:w="7078" w:type="dxa"/>
        <w:jc w:val="center"/>
        <w:tblLook w:val="04A0" w:firstRow="1" w:lastRow="0" w:firstColumn="1" w:lastColumn="0" w:noHBand="0" w:noVBand="1"/>
      </w:tblPr>
      <w:tblGrid>
        <w:gridCol w:w="2825"/>
        <w:gridCol w:w="2127"/>
        <w:gridCol w:w="2126"/>
      </w:tblGrid>
      <w:tr w:rsidR="00666572" w:rsidRPr="00666572" w:rsidTr="00A92D02">
        <w:trPr>
          <w:trHeight w:val="567"/>
          <w:jc w:val="center"/>
        </w:trPr>
        <w:tc>
          <w:tcPr>
            <w:tcW w:w="282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66572" w:rsidRPr="00666572" w:rsidRDefault="00666572" w:rsidP="00666572">
            <w:pPr>
              <w:spacing w:after="0" w:line="240" w:lineRule="auto"/>
              <w:jc w:val="center"/>
              <w:rPr>
                <w:rFonts w:ascii="Arial" w:eastAsia="Times New Roman" w:hAnsi="Arial" w:cs="Arial"/>
                <w:b/>
                <w:bCs/>
                <w:color w:val="auto"/>
                <w:sz w:val="24"/>
                <w:szCs w:val="24"/>
              </w:rPr>
            </w:pPr>
            <w:r w:rsidRPr="00666572">
              <w:rPr>
                <w:rFonts w:ascii="Arial" w:eastAsia="Times New Roman" w:hAnsi="Arial" w:cs="Arial"/>
                <w:b/>
                <w:bCs/>
                <w:color w:val="auto"/>
                <w:sz w:val="24"/>
                <w:szCs w:val="24"/>
              </w:rPr>
              <w:t>Gender</w:t>
            </w:r>
          </w:p>
        </w:tc>
        <w:tc>
          <w:tcPr>
            <w:tcW w:w="2127" w:type="dxa"/>
            <w:tcBorders>
              <w:top w:val="single" w:sz="8" w:space="0" w:color="auto"/>
              <w:left w:val="nil"/>
              <w:bottom w:val="single" w:sz="8" w:space="0" w:color="auto"/>
              <w:right w:val="single" w:sz="8" w:space="0" w:color="auto"/>
            </w:tcBorders>
            <w:shd w:val="clear" w:color="auto" w:fill="auto"/>
            <w:vAlign w:val="bottom"/>
            <w:hideMark/>
          </w:tcPr>
          <w:p w:rsidR="00666572" w:rsidRPr="00666572" w:rsidRDefault="00666572" w:rsidP="00666572">
            <w:pPr>
              <w:spacing w:after="0" w:line="240" w:lineRule="auto"/>
              <w:jc w:val="center"/>
              <w:rPr>
                <w:rFonts w:ascii="Arial" w:eastAsia="Times New Roman" w:hAnsi="Arial" w:cs="Arial"/>
                <w:b/>
                <w:bCs/>
                <w:color w:val="auto"/>
                <w:sz w:val="24"/>
                <w:szCs w:val="24"/>
              </w:rPr>
            </w:pPr>
            <w:r w:rsidRPr="00666572">
              <w:rPr>
                <w:rFonts w:ascii="Arial" w:eastAsia="Times New Roman" w:hAnsi="Arial" w:cs="Arial"/>
                <w:b/>
                <w:bCs/>
                <w:color w:val="auto"/>
                <w:sz w:val="24"/>
                <w:szCs w:val="24"/>
              </w:rPr>
              <w:t>Mean Hourly Pay</w:t>
            </w:r>
          </w:p>
        </w:tc>
        <w:tc>
          <w:tcPr>
            <w:tcW w:w="2126" w:type="dxa"/>
            <w:tcBorders>
              <w:top w:val="single" w:sz="8" w:space="0" w:color="auto"/>
              <w:left w:val="nil"/>
              <w:bottom w:val="single" w:sz="8" w:space="0" w:color="auto"/>
              <w:right w:val="single" w:sz="8" w:space="0" w:color="auto"/>
            </w:tcBorders>
            <w:shd w:val="clear" w:color="auto" w:fill="auto"/>
            <w:vAlign w:val="bottom"/>
            <w:hideMark/>
          </w:tcPr>
          <w:p w:rsidR="00666572" w:rsidRPr="00666572" w:rsidRDefault="00666572" w:rsidP="00666572">
            <w:pPr>
              <w:spacing w:after="0" w:line="240" w:lineRule="auto"/>
              <w:jc w:val="center"/>
              <w:rPr>
                <w:rFonts w:ascii="Arial" w:eastAsia="Times New Roman" w:hAnsi="Arial" w:cs="Arial"/>
                <w:b/>
                <w:bCs/>
                <w:color w:val="auto"/>
                <w:sz w:val="24"/>
                <w:szCs w:val="24"/>
              </w:rPr>
            </w:pPr>
            <w:r w:rsidRPr="00666572">
              <w:rPr>
                <w:rFonts w:ascii="Arial" w:eastAsia="Times New Roman" w:hAnsi="Arial" w:cs="Arial"/>
                <w:b/>
                <w:bCs/>
                <w:color w:val="auto"/>
                <w:sz w:val="24"/>
                <w:szCs w:val="24"/>
              </w:rPr>
              <w:t>Median Hourly Pay</w:t>
            </w:r>
          </w:p>
        </w:tc>
      </w:tr>
      <w:tr w:rsidR="00666572" w:rsidRPr="00666572" w:rsidTr="00A92D02">
        <w:trPr>
          <w:trHeight w:val="567"/>
          <w:jc w:val="center"/>
        </w:trPr>
        <w:tc>
          <w:tcPr>
            <w:tcW w:w="28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66572" w:rsidRPr="00666572" w:rsidRDefault="00666572" w:rsidP="00666572">
            <w:pPr>
              <w:spacing w:after="0" w:line="240" w:lineRule="auto"/>
              <w:jc w:val="center"/>
              <w:rPr>
                <w:rFonts w:ascii="Arial" w:eastAsia="Times New Roman" w:hAnsi="Arial" w:cs="Arial"/>
                <w:color w:val="auto"/>
                <w:sz w:val="24"/>
                <w:szCs w:val="24"/>
              </w:rPr>
            </w:pPr>
            <w:r w:rsidRPr="00666572">
              <w:rPr>
                <w:rFonts w:ascii="Arial" w:eastAsia="Times New Roman" w:hAnsi="Arial" w:cs="Arial"/>
                <w:color w:val="auto"/>
                <w:sz w:val="24"/>
                <w:szCs w:val="24"/>
              </w:rPr>
              <w:t>Female</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666572" w:rsidRPr="00666572" w:rsidRDefault="00666572" w:rsidP="00666572">
            <w:pPr>
              <w:spacing w:after="0" w:line="240" w:lineRule="auto"/>
              <w:jc w:val="center"/>
              <w:rPr>
                <w:rFonts w:ascii="Arial" w:eastAsia="Times New Roman" w:hAnsi="Arial" w:cs="Arial"/>
                <w:color w:val="auto"/>
                <w:sz w:val="24"/>
                <w:szCs w:val="24"/>
              </w:rPr>
            </w:pPr>
            <w:r w:rsidRPr="00666572">
              <w:rPr>
                <w:rFonts w:ascii="Arial" w:eastAsia="Times New Roman" w:hAnsi="Arial" w:cs="Arial"/>
                <w:color w:val="auto"/>
                <w:sz w:val="24"/>
                <w:szCs w:val="24"/>
              </w:rPr>
              <w:t>13.12</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666572" w:rsidRPr="00666572" w:rsidRDefault="00666572" w:rsidP="00666572">
            <w:pPr>
              <w:spacing w:after="0" w:line="240" w:lineRule="auto"/>
              <w:jc w:val="center"/>
              <w:rPr>
                <w:rFonts w:ascii="Arial" w:eastAsia="Times New Roman" w:hAnsi="Arial" w:cs="Arial"/>
                <w:color w:val="auto"/>
                <w:sz w:val="24"/>
                <w:szCs w:val="24"/>
              </w:rPr>
            </w:pPr>
            <w:r w:rsidRPr="00666572">
              <w:rPr>
                <w:rFonts w:ascii="Arial" w:eastAsia="Times New Roman" w:hAnsi="Arial" w:cs="Arial"/>
                <w:color w:val="auto"/>
                <w:sz w:val="24"/>
                <w:szCs w:val="24"/>
              </w:rPr>
              <w:t>11.04</w:t>
            </w:r>
          </w:p>
        </w:tc>
      </w:tr>
      <w:tr w:rsidR="00666572" w:rsidRPr="00666572" w:rsidTr="00A92D02">
        <w:trPr>
          <w:trHeight w:val="567"/>
          <w:jc w:val="center"/>
        </w:trPr>
        <w:tc>
          <w:tcPr>
            <w:tcW w:w="28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66572" w:rsidRPr="00666572" w:rsidRDefault="00666572" w:rsidP="00666572">
            <w:pPr>
              <w:spacing w:after="0" w:line="240" w:lineRule="auto"/>
              <w:jc w:val="center"/>
              <w:rPr>
                <w:rFonts w:ascii="Arial" w:eastAsia="Times New Roman" w:hAnsi="Arial" w:cs="Arial"/>
                <w:color w:val="auto"/>
                <w:sz w:val="24"/>
                <w:szCs w:val="24"/>
              </w:rPr>
            </w:pPr>
            <w:r w:rsidRPr="00666572">
              <w:rPr>
                <w:rFonts w:ascii="Arial" w:eastAsia="Times New Roman" w:hAnsi="Arial" w:cs="Arial"/>
                <w:color w:val="auto"/>
                <w:sz w:val="24"/>
                <w:szCs w:val="24"/>
              </w:rPr>
              <w:t>Male</w:t>
            </w: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666572" w:rsidRPr="00666572" w:rsidRDefault="00666572" w:rsidP="00666572">
            <w:pPr>
              <w:spacing w:after="0" w:line="240" w:lineRule="auto"/>
              <w:jc w:val="center"/>
              <w:rPr>
                <w:rFonts w:ascii="Arial" w:eastAsia="Times New Roman" w:hAnsi="Arial" w:cs="Arial"/>
                <w:color w:val="auto"/>
                <w:sz w:val="24"/>
                <w:szCs w:val="24"/>
              </w:rPr>
            </w:pPr>
            <w:r w:rsidRPr="00666572">
              <w:rPr>
                <w:rFonts w:ascii="Arial" w:eastAsia="Times New Roman" w:hAnsi="Arial" w:cs="Arial"/>
                <w:color w:val="auto"/>
                <w:sz w:val="24"/>
                <w:szCs w:val="24"/>
              </w:rPr>
              <w:t>13.58</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666572" w:rsidRPr="00666572" w:rsidRDefault="00666572" w:rsidP="00666572">
            <w:pPr>
              <w:spacing w:after="0" w:line="240" w:lineRule="auto"/>
              <w:jc w:val="center"/>
              <w:rPr>
                <w:rFonts w:ascii="Arial" w:eastAsia="Times New Roman" w:hAnsi="Arial" w:cs="Arial"/>
                <w:color w:val="auto"/>
                <w:sz w:val="24"/>
                <w:szCs w:val="24"/>
              </w:rPr>
            </w:pPr>
            <w:r w:rsidRPr="00666572">
              <w:rPr>
                <w:rFonts w:ascii="Arial" w:eastAsia="Times New Roman" w:hAnsi="Arial" w:cs="Arial"/>
                <w:color w:val="auto"/>
                <w:sz w:val="24"/>
                <w:szCs w:val="24"/>
              </w:rPr>
              <w:t>11.04</w:t>
            </w:r>
          </w:p>
        </w:tc>
      </w:tr>
      <w:tr w:rsidR="00666572" w:rsidRPr="00666572" w:rsidTr="00A92D02">
        <w:trPr>
          <w:trHeight w:val="567"/>
          <w:jc w:val="center"/>
        </w:trPr>
        <w:tc>
          <w:tcPr>
            <w:tcW w:w="282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92D02" w:rsidRDefault="00666572" w:rsidP="00666572">
            <w:pPr>
              <w:spacing w:after="0" w:line="240" w:lineRule="auto"/>
              <w:jc w:val="center"/>
              <w:rPr>
                <w:rFonts w:ascii="Arial" w:eastAsia="Times New Roman" w:hAnsi="Arial" w:cs="Arial"/>
                <w:color w:val="auto"/>
                <w:sz w:val="24"/>
                <w:szCs w:val="24"/>
              </w:rPr>
            </w:pPr>
            <w:r w:rsidRPr="00666572">
              <w:rPr>
                <w:rFonts w:ascii="Arial" w:eastAsia="Times New Roman" w:hAnsi="Arial" w:cs="Arial"/>
                <w:color w:val="auto"/>
                <w:sz w:val="24"/>
                <w:szCs w:val="24"/>
              </w:rPr>
              <w:t>Percentage</w:t>
            </w:r>
            <w:r w:rsidR="0027722D">
              <w:rPr>
                <w:rFonts w:ascii="Arial" w:eastAsia="Times New Roman" w:hAnsi="Arial" w:cs="Arial"/>
                <w:color w:val="auto"/>
                <w:sz w:val="24"/>
                <w:szCs w:val="24"/>
              </w:rPr>
              <w:t xml:space="preserve"> difference between Female and Male</w:t>
            </w:r>
          </w:p>
          <w:p w:rsidR="00666572" w:rsidRPr="00666572" w:rsidRDefault="00666572" w:rsidP="00666572">
            <w:pPr>
              <w:spacing w:after="0" w:line="240" w:lineRule="auto"/>
              <w:jc w:val="center"/>
              <w:rPr>
                <w:rFonts w:ascii="Arial" w:eastAsia="Times New Roman" w:hAnsi="Arial" w:cs="Arial"/>
                <w:color w:val="auto"/>
                <w:sz w:val="24"/>
                <w:szCs w:val="24"/>
              </w:rPr>
            </w:pPr>
          </w:p>
        </w:tc>
        <w:tc>
          <w:tcPr>
            <w:tcW w:w="2127" w:type="dxa"/>
            <w:tcBorders>
              <w:top w:val="single" w:sz="8" w:space="0" w:color="auto"/>
              <w:left w:val="nil"/>
              <w:bottom w:val="single" w:sz="8" w:space="0" w:color="auto"/>
              <w:right w:val="single" w:sz="8" w:space="0" w:color="auto"/>
            </w:tcBorders>
            <w:shd w:val="clear" w:color="auto" w:fill="auto"/>
            <w:noWrap/>
            <w:vAlign w:val="bottom"/>
            <w:hideMark/>
          </w:tcPr>
          <w:p w:rsidR="00666572" w:rsidRPr="005A0618" w:rsidRDefault="00666572" w:rsidP="00666572">
            <w:pPr>
              <w:spacing w:after="0" w:line="240" w:lineRule="auto"/>
              <w:jc w:val="center"/>
              <w:rPr>
                <w:rFonts w:ascii="Arial" w:eastAsia="Times New Roman" w:hAnsi="Arial" w:cs="Arial"/>
                <w:b/>
                <w:color w:val="auto"/>
                <w:sz w:val="24"/>
                <w:szCs w:val="24"/>
              </w:rPr>
            </w:pPr>
            <w:r w:rsidRPr="005A0618">
              <w:rPr>
                <w:rFonts w:ascii="Arial" w:eastAsia="Times New Roman" w:hAnsi="Arial" w:cs="Arial"/>
                <w:b/>
                <w:color w:val="auto"/>
                <w:sz w:val="24"/>
                <w:szCs w:val="24"/>
              </w:rPr>
              <w:t>3.4%</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666572" w:rsidRPr="005A0618" w:rsidRDefault="00666572" w:rsidP="00666572">
            <w:pPr>
              <w:spacing w:after="0" w:line="240" w:lineRule="auto"/>
              <w:jc w:val="center"/>
              <w:rPr>
                <w:rFonts w:ascii="Arial" w:eastAsia="Times New Roman" w:hAnsi="Arial" w:cs="Arial"/>
                <w:b/>
                <w:color w:val="auto"/>
                <w:sz w:val="24"/>
                <w:szCs w:val="24"/>
              </w:rPr>
            </w:pPr>
            <w:r w:rsidRPr="005A0618">
              <w:rPr>
                <w:rFonts w:ascii="Arial" w:eastAsia="Times New Roman" w:hAnsi="Arial" w:cs="Arial"/>
                <w:b/>
                <w:color w:val="auto"/>
                <w:sz w:val="24"/>
                <w:szCs w:val="24"/>
              </w:rPr>
              <w:t>0.0%</w:t>
            </w:r>
          </w:p>
        </w:tc>
      </w:tr>
    </w:tbl>
    <w:p w:rsidR="00666572" w:rsidRDefault="00666572">
      <w:pPr>
        <w:spacing w:after="0"/>
        <w:ind w:left="29"/>
        <w:rPr>
          <w:rFonts w:ascii="Arial" w:hAnsi="Arial" w:cs="Arial"/>
          <w:sz w:val="24"/>
          <w:szCs w:val="24"/>
        </w:rPr>
      </w:pPr>
    </w:p>
    <w:p w:rsidR="00F4245F" w:rsidRPr="00D22114" w:rsidRDefault="005D2318" w:rsidP="00D22114">
      <w:pPr>
        <w:pStyle w:val="ListParagraph"/>
        <w:numPr>
          <w:ilvl w:val="0"/>
          <w:numId w:val="5"/>
        </w:numPr>
        <w:spacing w:after="179" w:line="255" w:lineRule="auto"/>
        <w:ind w:right="143"/>
        <w:jc w:val="both"/>
        <w:rPr>
          <w:rFonts w:ascii="Arial" w:hAnsi="Arial" w:cs="Arial"/>
          <w:b/>
          <w:sz w:val="24"/>
          <w:szCs w:val="24"/>
        </w:rPr>
      </w:pPr>
      <w:r w:rsidRPr="00D22114">
        <w:rPr>
          <w:rFonts w:ascii="Arial" w:hAnsi="Arial" w:cs="Arial"/>
          <w:b/>
          <w:sz w:val="24"/>
          <w:szCs w:val="24"/>
        </w:rPr>
        <w:t>SCTS Pay Quartiles</w:t>
      </w:r>
    </w:p>
    <w:p w:rsidR="00F4245F" w:rsidRDefault="005D2318" w:rsidP="0059013E">
      <w:pPr>
        <w:spacing w:after="229" w:line="224" w:lineRule="auto"/>
        <w:ind w:left="19" w:firstLine="4"/>
        <w:jc w:val="both"/>
        <w:rPr>
          <w:rFonts w:ascii="Arial" w:hAnsi="Arial" w:cs="Arial"/>
          <w:sz w:val="24"/>
          <w:szCs w:val="24"/>
        </w:rPr>
      </w:pPr>
      <w:r w:rsidRPr="00D22114">
        <w:rPr>
          <w:rFonts w:ascii="Arial" w:hAnsi="Arial" w:cs="Arial"/>
          <w:sz w:val="24"/>
          <w:szCs w:val="24"/>
        </w:rPr>
        <w:t xml:space="preserve">Quartile pay bands are achieved by dividing the SCTS workforce into four equal parts (see Figure C), sorting the hourly rates by lowest rate to highest rate and recording the number of female and male staff in each quartile as a percentage figure (see Figure D). </w:t>
      </w:r>
      <w:r w:rsidRPr="00D22114">
        <w:rPr>
          <w:rFonts w:ascii="Arial" w:hAnsi="Arial" w:cs="Arial"/>
          <w:sz w:val="24"/>
          <w:szCs w:val="24"/>
        </w:rPr>
        <w:lastRenderedPageBreak/>
        <w:t>The percentages of females and males in each quartile illustrate the ratio of females to males according to their hourly rate of pay.</w:t>
      </w:r>
    </w:p>
    <w:p w:rsidR="00F4245F" w:rsidRPr="0059013E" w:rsidRDefault="005D2318">
      <w:pPr>
        <w:spacing w:after="3"/>
        <w:ind w:left="14" w:hanging="10"/>
        <w:rPr>
          <w:rFonts w:ascii="Arial" w:hAnsi="Arial" w:cs="Arial"/>
          <w:b/>
          <w:sz w:val="24"/>
          <w:szCs w:val="24"/>
        </w:rPr>
      </w:pPr>
      <w:r w:rsidRPr="0059013E">
        <w:rPr>
          <w:rFonts w:ascii="Arial" w:hAnsi="Arial" w:cs="Arial"/>
          <w:b/>
          <w:sz w:val="24"/>
          <w:szCs w:val="24"/>
        </w:rPr>
        <w:t>Figure C - Number of Females and Males in Pay Quartiles</w:t>
      </w:r>
    </w:p>
    <w:p w:rsidR="0059013E" w:rsidRDefault="0059013E">
      <w:pPr>
        <w:spacing w:after="3"/>
        <w:ind w:left="14" w:hanging="10"/>
        <w:rPr>
          <w:rFonts w:ascii="Arial" w:hAnsi="Arial" w:cs="Arial"/>
          <w:sz w:val="24"/>
          <w:szCs w:val="24"/>
        </w:rPr>
      </w:pPr>
    </w:p>
    <w:tbl>
      <w:tblPr>
        <w:tblW w:w="7928" w:type="dxa"/>
        <w:jc w:val="center"/>
        <w:tblLayout w:type="fixed"/>
        <w:tblLook w:val="04A0" w:firstRow="1" w:lastRow="0" w:firstColumn="1" w:lastColumn="0" w:noHBand="0" w:noVBand="1"/>
      </w:tblPr>
      <w:tblGrid>
        <w:gridCol w:w="1266"/>
        <w:gridCol w:w="1311"/>
        <w:gridCol w:w="1311"/>
        <w:gridCol w:w="1311"/>
        <w:gridCol w:w="1312"/>
        <w:gridCol w:w="1417"/>
      </w:tblGrid>
      <w:tr w:rsidR="00A92D02" w:rsidRPr="00E4137D" w:rsidTr="00AA304A">
        <w:trPr>
          <w:trHeight w:val="946"/>
          <w:jc w:val="center"/>
        </w:trPr>
        <w:tc>
          <w:tcPr>
            <w:tcW w:w="12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137D" w:rsidRPr="00E4137D" w:rsidRDefault="00E4137D" w:rsidP="00E4137D">
            <w:pPr>
              <w:spacing w:after="0" w:line="240" w:lineRule="auto"/>
              <w:jc w:val="center"/>
              <w:rPr>
                <w:rFonts w:ascii="Arial" w:eastAsia="Times New Roman" w:hAnsi="Arial" w:cs="Arial"/>
                <w:b/>
                <w:bCs/>
                <w:color w:val="auto"/>
              </w:rPr>
            </w:pPr>
            <w:r w:rsidRPr="00E4137D">
              <w:rPr>
                <w:rFonts w:ascii="Arial" w:eastAsia="Times New Roman" w:hAnsi="Arial" w:cs="Arial"/>
                <w:b/>
                <w:bCs/>
                <w:color w:val="auto"/>
              </w:rPr>
              <w:t>Gender Split</w:t>
            </w:r>
          </w:p>
        </w:tc>
        <w:tc>
          <w:tcPr>
            <w:tcW w:w="1311" w:type="dxa"/>
            <w:tcBorders>
              <w:top w:val="single" w:sz="8" w:space="0" w:color="auto"/>
              <w:left w:val="nil"/>
              <w:bottom w:val="single" w:sz="8" w:space="0" w:color="auto"/>
              <w:right w:val="single" w:sz="8" w:space="0" w:color="auto"/>
            </w:tcBorders>
            <w:shd w:val="clear" w:color="auto" w:fill="auto"/>
            <w:vAlign w:val="bottom"/>
            <w:hideMark/>
          </w:tcPr>
          <w:p w:rsidR="00E4137D" w:rsidRDefault="00E4137D" w:rsidP="00E4137D">
            <w:pPr>
              <w:spacing w:after="0" w:line="240" w:lineRule="auto"/>
              <w:jc w:val="center"/>
              <w:rPr>
                <w:rFonts w:ascii="Arial" w:eastAsia="Times New Roman" w:hAnsi="Arial" w:cs="Arial"/>
                <w:b/>
                <w:bCs/>
                <w:color w:val="auto"/>
              </w:rPr>
            </w:pPr>
            <w:r w:rsidRPr="00E4137D">
              <w:rPr>
                <w:rFonts w:ascii="Arial" w:eastAsia="Times New Roman" w:hAnsi="Arial" w:cs="Arial"/>
                <w:b/>
                <w:bCs/>
                <w:color w:val="auto"/>
              </w:rPr>
              <w:t>Lower Quartile</w:t>
            </w:r>
          </w:p>
          <w:p w:rsidR="0027722D" w:rsidRPr="005A0618" w:rsidRDefault="0027722D" w:rsidP="00E4137D">
            <w:pPr>
              <w:spacing w:after="0" w:line="240" w:lineRule="auto"/>
              <w:jc w:val="center"/>
              <w:rPr>
                <w:rFonts w:ascii="Arial" w:eastAsia="Times New Roman" w:hAnsi="Arial" w:cs="Arial"/>
                <w:color w:val="auto"/>
                <w:sz w:val="16"/>
                <w:szCs w:val="16"/>
              </w:rPr>
            </w:pPr>
            <w:r w:rsidRPr="005A0618">
              <w:rPr>
                <w:rFonts w:ascii="Arial" w:eastAsia="Times New Roman" w:hAnsi="Arial" w:cs="Arial"/>
                <w:bCs/>
                <w:color w:val="auto"/>
                <w:sz w:val="16"/>
                <w:szCs w:val="16"/>
              </w:rPr>
              <w:t>(lowest paid)</w:t>
            </w:r>
          </w:p>
        </w:tc>
        <w:tc>
          <w:tcPr>
            <w:tcW w:w="1311" w:type="dxa"/>
            <w:tcBorders>
              <w:top w:val="single" w:sz="8" w:space="0" w:color="auto"/>
              <w:left w:val="nil"/>
              <w:bottom w:val="single" w:sz="8" w:space="0" w:color="auto"/>
              <w:right w:val="single" w:sz="8" w:space="0" w:color="auto"/>
            </w:tcBorders>
            <w:shd w:val="clear" w:color="auto" w:fill="auto"/>
            <w:vAlign w:val="bottom"/>
            <w:hideMark/>
          </w:tcPr>
          <w:p w:rsidR="0027722D" w:rsidRDefault="00E4137D" w:rsidP="00E4137D">
            <w:pPr>
              <w:spacing w:after="0" w:line="240" w:lineRule="auto"/>
              <w:jc w:val="center"/>
              <w:rPr>
                <w:rFonts w:ascii="Arial" w:eastAsia="Times New Roman" w:hAnsi="Arial" w:cs="Arial"/>
                <w:b/>
                <w:bCs/>
                <w:color w:val="auto"/>
              </w:rPr>
            </w:pPr>
            <w:r w:rsidRPr="00E4137D">
              <w:rPr>
                <w:rFonts w:ascii="Arial" w:eastAsia="Times New Roman" w:hAnsi="Arial" w:cs="Arial"/>
                <w:b/>
                <w:bCs/>
                <w:color w:val="auto"/>
              </w:rPr>
              <w:t xml:space="preserve">Lower </w:t>
            </w:r>
          </w:p>
          <w:p w:rsidR="00E4137D" w:rsidRPr="00E4137D" w:rsidRDefault="0027722D" w:rsidP="00E4137D">
            <w:pPr>
              <w:spacing w:after="0" w:line="240" w:lineRule="auto"/>
              <w:jc w:val="center"/>
              <w:rPr>
                <w:rFonts w:ascii="Arial" w:eastAsia="Times New Roman" w:hAnsi="Arial" w:cs="Arial"/>
                <w:color w:val="auto"/>
              </w:rPr>
            </w:pPr>
            <w:r>
              <w:rPr>
                <w:rFonts w:ascii="Arial" w:eastAsia="Times New Roman" w:hAnsi="Arial" w:cs="Arial"/>
                <w:b/>
                <w:bCs/>
                <w:color w:val="auto"/>
              </w:rPr>
              <w:t xml:space="preserve">Middle </w:t>
            </w:r>
            <w:r w:rsidR="00E4137D" w:rsidRPr="00E4137D">
              <w:rPr>
                <w:rFonts w:ascii="Arial" w:eastAsia="Times New Roman" w:hAnsi="Arial" w:cs="Arial"/>
                <w:b/>
                <w:bCs/>
                <w:color w:val="auto"/>
              </w:rPr>
              <w:t>Quartile</w:t>
            </w:r>
          </w:p>
        </w:tc>
        <w:tc>
          <w:tcPr>
            <w:tcW w:w="1311" w:type="dxa"/>
            <w:tcBorders>
              <w:top w:val="single" w:sz="8" w:space="0" w:color="auto"/>
              <w:left w:val="nil"/>
              <w:bottom w:val="single" w:sz="8" w:space="0" w:color="auto"/>
              <w:right w:val="single" w:sz="8" w:space="0" w:color="auto"/>
            </w:tcBorders>
            <w:shd w:val="clear" w:color="auto" w:fill="auto"/>
            <w:vAlign w:val="bottom"/>
            <w:hideMark/>
          </w:tcPr>
          <w:p w:rsidR="00E4137D" w:rsidRPr="00E4137D" w:rsidRDefault="0027722D" w:rsidP="0027722D">
            <w:pPr>
              <w:spacing w:after="0" w:line="240" w:lineRule="auto"/>
              <w:jc w:val="center"/>
              <w:rPr>
                <w:rFonts w:ascii="Arial" w:eastAsia="Times New Roman" w:hAnsi="Arial" w:cs="Arial"/>
                <w:color w:val="auto"/>
              </w:rPr>
            </w:pPr>
            <w:r>
              <w:rPr>
                <w:rFonts w:ascii="Arial" w:eastAsia="Times New Roman" w:hAnsi="Arial" w:cs="Arial"/>
                <w:b/>
                <w:bCs/>
                <w:color w:val="auto"/>
              </w:rPr>
              <w:t xml:space="preserve">Upper </w:t>
            </w:r>
            <w:r w:rsidR="00E4137D" w:rsidRPr="00E4137D">
              <w:rPr>
                <w:rFonts w:ascii="Arial" w:eastAsia="Times New Roman" w:hAnsi="Arial" w:cs="Arial"/>
                <w:b/>
                <w:bCs/>
                <w:color w:val="auto"/>
              </w:rPr>
              <w:t>Middle Quartile</w:t>
            </w:r>
          </w:p>
        </w:tc>
        <w:tc>
          <w:tcPr>
            <w:tcW w:w="1312" w:type="dxa"/>
            <w:tcBorders>
              <w:top w:val="single" w:sz="8" w:space="0" w:color="auto"/>
              <w:left w:val="nil"/>
              <w:bottom w:val="single" w:sz="8" w:space="0" w:color="auto"/>
              <w:right w:val="single" w:sz="8" w:space="0" w:color="auto"/>
            </w:tcBorders>
            <w:shd w:val="clear" w:color="auto" w:fill="auto"/>
            <w:vAlign w:val="bottom"/>
            <w:hideMark/>
          </w:tcPr>
          <w:p w:rsidR="00E4137D" w:rsidRDefault="00E4137D" w:rsidP="00E4137D">
            <w:pPr>
              <w:spacing w:after="0" w:line="240" w:lineRule="auto"/>
              <w:jc w:val="center"/>
              <w:rPr>
                <w:rFonts w:ascii="Arial" w:eastAsia="Times New Roman" w:hAnsi="Arial" w:cs="Arial"/>
                <w:b/>
                <w:bCs/>
                <w:color w:val="auto"/>
              </w:rPr>
            </w:pPr>
            <w:r w:rsidRPr="00E4137D">
              <w:rPr>
                <w:rFonts w:ascii="Arial" w:eastAsia="Times New Roman" w:hAnsi="Arial" w:cs="Arial"/>
                <w:b/>
                <w:bCs/>
                <w:color w:val="auto"/>
              </w:rPr>
              <w:t>Upper Quartile</w:t>
            </w:r>
          </w:p>
          <w:p w:rsidR="0027722D" w:rsidRPr="005A0618" w:rsidRDefault="0027722D" w:rsidP="0027722D">
            <w:pPr>
              <w:spacing w:after="0" w:line="240" w:lineRule="auto"/>
              <w:jc w:val="center"/>
              <w:rPr>
                <w:rFonts w:ascii="Arial" w:eastAsia="Times New Roman" w:hAnsi="Arial" w:cs="Arial"/>
                <w:color w:val="auto"/>
                <w:sz w:val="16"/>
                <w:szCs w:val="16"/>
              </w:rPr>
            </w:pPr>
            <w:r w:rsidRPr="005A0618">
              <w:rPr>
                <w:rFonts w:ascii="Arial" w:eastAsia="Times New Roman" w:hAnsi="Arial" w:cs="Arial"/>
                <w:bCs/>
                <w:color w:val="auto"/>
                <w:sz w:val="16"/>
                <w:szCs w:val="16"/>
              </w:rPr>
              <w:t>(highest paid)</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E4137D" w:rsidRPr="00E4137D" w:rsidRDefault="00E4137D" w:rsidP="00E4137D">
            <w:pPr>
              <w:spacing w:after="0" w:line="240" w:lineRule="auto"/>
              <w:jc w:val="center"/>
              <w:rPr>
                <w:rFonts w:ascii="Arial" w:eastAsia="Times New Roman" w:hAnsi="Arial" w:cs="Arial"/>
                <w:b/>
                <w:bCs/>
                <w:color w:val="auto"/>
              </w:rPr>
            </w:pPr>
            <w:r w:rsidRPr="00E4137D">
              <w:rPr>
                <w:rFonts w:ascii="Arial" w:eastAsia="Times New Roman" w:hAnsi="Arial" w:cs="Arial"/>
                <w:b/>
                <w:bCs/>
                <w:color w:val="auto"/>
              </w:rPr>
              <w:t>TOTAL</w:t>
            </w:r>
          </w:p>
        </w:tc>
      </w:tr>
      <w:tr w:rsidR="00AA304A" w:rsidRPr="00E4137D" w:rsidTr="00AA304A">
        <w:trPr>
          <w:trHeight w:val="300"/>
          <w:jc w:val="center"/>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rsidR="00E4137D" w:rsidRPr="00E4137D" w:rsidRDefault="00E4137D" w:rsidP="00E4137D">
            <w:pPr>
              <w:spacing w:after="0" w:line="240" w:lineRule="auto"/>
              <w:rPr>
                <w:rFonts w:ascii="Arial" w:eastAsia="Times New Roman" w:hAnsi="Arial" w:cs="Arial"/>
                <w:color w:val="auto"/>
              </w:rPr>
            </w:pPr>
            <w:r w:rsidRPr="00E4137D">
              <w:rPr>
                <w:rFonts w:ascii="Arial" w:eastAsia="Times New Roman" w:hAnsi="Arial" w:cs="Arial"/>
                <w:color w:val="auto"/>
              </w:rPr>
              <w:t>Female</w:t>
            </w:r>
          </w:p>
        </w:tc>
        <w:tc>
          <w:tcPr>
            <w:tcW w:w="1311" w:type="dxa"/>
            <w:tcBorders>
              <w:top w:val="nil"/>
              <w:left w:val="nil"/>
              <w:bottom w:val="single" w:sz="8" w:space="0" w:color="auto"/>
              <w:right w:val="single" w:sz="8" w:space="0" w:color="auto"/>
            </w:tcBorders>
            <w:shd w:val="clear" w:color="auto" w:fill="auto"/>
            <w:noWrap/>
            <w:vAlign w:val="bottom"/>
            <w:hideMark/>
          </w:tcPr>
          <w:p w:rsidR="00E4137D" w:rsidRPr="00E4137D" w:rsidRDefault="00E4137D" w:rsidP="00E4137D">
            <w:pPr>
              <w:spacing w:after="0" w:line="240" w:lineRule="auto"/>
              <w:jc w:val="center"/>
              <w:rPr>
                <w:rFonts w:ascii="Arial" w:eastAsia="Times New Roman" w:hAnsi="Arial" w:cs="Arial"/>
                <w:color w:val="auto"/>
              </w:rPr>
            </w:pPr>
            <w:r w:rsidRPr="00E4137D">
              <w:rPr>
                <w:rFonts w:ascii="Arial" w:eastAsia="Times New Roman" w:hAnsi="Arial" w:cs="Arial"/>
                <w:color w:val="auto"/>
              </w:rPr>
              <w:t>240</w:t>
            </w:r>
          </w:p>
        </w:tc>
        <w:tc>
          <w:tcPr>
            <w:tcW w:w="1311" w:type="dxa"/>
            <w:tcBorders>
              <w:top w:val="nil"/>
              <w:left w:val="nil"/>
              <w:bottom w:val="single" w:sz="8" w:space="0" w:color="auto"/>
              <w:right w:val="single" w:sz="8" w:space="0" w:color="auto"/>
            </w:tcBorders>
            <w:shd w:val="clear" w:color="auto" w:fill="auto"/>
            <w:noWrap/>
            <w:vAlign w:val="bottom"/>
            <w:hideMark/>
          </w:tcPr>
          <w:p w:rsidR="00E4137D" w:rsidRPr="00E4137D" w:rsidRDefault="00E4137D" w:rsidP="00E4137D">
            <w:pPr>
              <w:spacing w:after="0" w:line="240" w:lineRule="auto"/>
              <w:jc w:val="center"/>
              <w:rPr>
                <w:rFonts w:ascii="Arial" w:eastAsia="Times New Roman" w:hAnsi="Arial" w:cs="Arial"/>
                <w:color w:val="auto"/>
              </w:rPr>
            </w:pPr>
            <w:r w:rsidRPr="00E4137D">
              <w:rPr>
                <w:rFonts w:ascii="Arial" w:eastAsia="Times New Roman" w:hAnsi="Arial" w:cs="Arial"/>
                <w:color w:val="auto"/>
              </w:rPr>
              <w:t>333</w:t>
            </w:r>
          </w:p>
        </w:tc>
        <w:tc>
          <w:tcPr>
            <w:tcW w:w="1311" w:type="dxa"/>
            <w:tcBorders>
              <w:top w:val="nil"/>
              <w:left w:val="nil"/>
              <w:bottom w:val="single" w:sz="8" w:space="0" w:color="auto"/>
              <w:right w:val="single" w:sz="8" w:space="0" w:color="auto"/>
            </w:tcBorders>
            <w:shd w:val="clear" w:color="auto" w:fill="auto"/>
            <w:noWrap/>
            <w:vAlign w:val="bottom"/>
            <w:hideMark/>
          </w:tcPr>
          <w:p w:rsidR="00E4137D" w:rsidRPr="00E4137D" w:rsidRDefault="00E4137D" w:rsidP="00E4137D">
            <w:pPr>
              <w:spacing w:after="0" w:line="240" w:lineRule="auto"/>
              <w:jc w:val="center"/>
              <w:rPr>
                <w:rFonts w:ascii="Arial" w:eastAsia="Times New Roman" w:hAnsi="Arial" w:cs="Arial"/>
                <w:color w:val="auto"/>
              </w:rPr>
            </w:pPr>
            <w:r w:rsidRPr="00E4137D">
              <w:rPr>
                <w:rFonts w:ascii="Arial" w:eastAsia="Times New Roman" w:hAnsi="Arial" w:cs="Arial"/>
                <w:color w:val="auto"/>
              </w:rPr>
              <w:t>307</w:t>
            </w:r>
          </w:p>
        </w:tc>
        <w:tc>
          <w:tcPr>
            <w:tcW w:w="1312" w:type="dxa"/>
            <w:tcBorders>
              <w:top w:val="nil"/>
              <w:left w:val="nil"/>
              <w:bottom w:val="single" w:sz="8" w:space="0" w:color="auto"/>
              <w:right w:val="single" w:sz="8" w:space="0" w:color="auto"/>
            </w:tcBorders>
            <w:shd w:val="clear" w:color="auto" w:fill="auto"/>
            <w:noWrap/>
            <w:vAlign w:val="bottom"/>
            <w:hideMark/>
          </w:tcPr>
          <w:p w:rsidR="00E4137D" w:rsidRPr="00E4137D" w:rsidRDefault="00E4137D" w:rsidP="00E4137D">
            <w:pPr>
              <w:spacing w:after="0" w:line="240" w:lineRule="auto"/>
              <w:jc w:val="center"/>
              <w:rPr>
                <w:rFonts w:ascii="Arial" w:eastAsia="Times New Roman" w:hAnsi="Arial" w:cs="Arial"/>
                <w:color w:val="auto"/>
              </w:rPr>
            </w:pPr>
            <w:r w:rsidRPr="00E4137D">
              <w:rPr>
                <w:rFonts w:ascii="Arial" w:eastAsia="Times New Roman" w:hAnsi="Arial" w:cs="Arial"/>
                <w:color w:val="auto"/>
              </w:rPr>
              <w:t>270</w:t>
            </w:r>
          </w:p>
        </w:tc>
        <w:tc>
          <w:tcPr>
            <w:tcW w:w="1417" w:type="dxa"/>
            <w:tcBorders>
              <w:top w:val="nil"/>
              <w:left w:val="nil"/>
              <w:bottom w:val="single" w:sz="8" w:space="0" w:color="auto"/>
              <w:right w:val="single" w:sz="8" w:space="0" w:color="auto"/>
            </w:tcBorders>
            <w:shd w:val="clear" w:color="auto" w:fill="auto"/>
            <w:noWrap/>
            <w:vAlign w:val="bottom"/>
            <w:hideMark/>
          </w:tcPr>
          <w:p w:rsidR="00E4137D" w:rsidRPr="00E4137D" w:rsidRDefault="00E4137D" w:rsidP="00E4137D">
            <w:pPr>
              <w:spacing w:after="0" w:line="240" w:lineRule="auto"/>
              <w:jc w:val="center"/>
              <w:rPr>
                <w:rFonts w:ascii="Arial" w:eastAsia="Times New Roman" w:hAnsi="Arial" w:cs="Arial"/>
                <w:color w:val="auto"/>
              </w:rPr>
            </w:pPr>
            <w:r w:rsidRPr="00E4137D">
              <w:rPr>
                <w:rFonts w:ascii="Arial" w:eastAsia="Times New Roman" w:hAnsi="Arial" w:cs="Arial"/>
                <w:color w:val="auto"/>
              </w:rPr>
              <w:t>1150</w:t>
            </w:r>
          </w:p>
        </w:tc>
      </w:tr>
      <w:tr w:rsidR="00AA304A" w:rsidRPr="00E4137D" w:rsidTr="00AA304A">
        <w:trPr>
          <w:trHeight w:val="300"/>
          <w:jc w:val="center"/>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rsidR="00E4137D" w:rsidRPr="00E4137D" w:rsidRDefault="00E4137D" w:rsidP="00E4137D">
            <w:pPr>
              <w:spacing w:after="0" w:line="240" w:lineRule="auto"/>
              <w:rPr>
                <w:rFonts w:ascii="Arial" w:eastAsia="Times New Roman" w:hAnsi="Arial" w:cs="Arial"/>
                <w:color w:val="auto"/>
              </w:rPr>
            </w:pPr>
            <w:r w:rsidRPr="00E4137D">
              <w:rPr>
                <w:rFonts w:ascii="Arial" w:eastAsia="Times New Roman" w:hAnsi="Arial" w:cs="Arial"/>
                <w:color w:val="auto"/>
              </w:rPr>
              <w:t>Male</w:t>
            </w:r>
          </w:p>
        </w:tc>
        <w:tc>
          <w:tcPr>
            <w:tcW w:w="1311" w:type="dxa"/>
            <w:tcBorders>
              <w:top w:val="nil"/>
              <w:left w:val="nil"/>
              <w:bottom w:val="single" w:sz="8" w:space="0" w:color="auto"/>
              <w:right w:val="single" w:sz="8" w:space="0" w:color="auto"/>
            </w:tcBorders>
            <w:shd w:val="clear" w:color="auto" w:fill="auto"/>
            <w:noWrap/>
            <w:vAlign w:val="bottom"/>
            <w:hideMark/>
          </w:tcPr>
          <w:p w:rsidR="00E4137D" w:rsidRPr="00E4137D" w:rsidRDefault="00E4137D" w:rsidP="00E4137D">
            <w:pPr>
              <w:spacing w:after="0" w:line="240" w:lineRule="auto"/>
              <w:jc w:val="center"/>
              <w:rPr>
                <w:rFonts w:ascii="Arial" w:eastAsia="Times New Roman" w:hAnsi="Arial" w:cs="Arial"/>
                <w:color w:val="auto"/>
              </w:rPr>
            </w:pPr>
            <w:r w:rsidRPr="00E4137D">
              <w:rPr>
                <w:rFonts w:ascii="Arial" w:eastAsia="Times New Roman" w:hAnsi="Arial" w:cs="Arial"/>
                <w:color w:val="auto"/>
              </w:rPr>
              <w:t>193</w:t>
            </w:r>
          </w:p>
        </w:tc>
        <w:tc>
          <w:tcPr>
            <w:tcW w:w="1311" w:type="dxa"/>
            <w:tcBorders>
              <w:top w:val="nil"/>
              <w:left w:val="nil"/>
              <w:bottom w:val="single" w:sz="8" w:space="0" w:color="auto"/>
              <w:right w:val="single" w:sz="8" w:space="0" w:color="auto"/>
            </w:tcBorders>
            <w:shd w:val="clear" w:color="auto" w:fill="auto"/>
            <w:noWrap/>
            <w:vAlign w:val="bottom"/>
            <w:hideMark/>
          </w:tcPr>
          <w:p w:rsidR="00E4137D" w:rsidRPr="00E4137D" w:rsidRDefault="00E4137D" w:rsidP="00E4137D">
            <w:pPr>
              <w:spacing w:after="0" w:line="240" w:lineRule="auto"/>
              <w:jc w:val="center"/>
              <w:rPr>
                <w:rFonts w:ascii="Arial" w:eastAsia="Times New Roman" w:hAnsi="Arial" w:cs="Arial"/>
                <w:color w:val="auto"/>
              </w:rPr>
            </w:pPr>
            <w:r w:rsidRPr="00E4137D">
              <w:rPr>
                <w:rFonts w:ascii="Arial" w:eastAsia="Times New Roman" w:hAnsi="Arial" w:cs="Arial"/>
                <w:color w:val="auto"/>
              </w:rPr>
              <w:t>100</w:t>
            </w:r>
          </w:p>
        </w:tc>
        <w:tc>
          <w:tcPr>
            <w:tcW w:w="1311" w:type="dxa"/>
            <w:tcBorders>
              <w:top w:val="nil"/>
              <w:left w:val="nil"/>
              <w:bottom w:val="single" w:sz="8" w:space="0" w:color="auto"/>
              <w:right w:val="single" w:sz="8" w:space="0" w:color="auto"/>
            </w:tcBorders>
            <w:shd w:val="clear" w:color="auto" w:fill="auto"/>
            <w:noWrap/>
            <w:vAlign w:val="bottom"/>
            <w:hideMark/>
          </w:tcPr>
          <w:p w:rsidR="00E4137D" w:rsidRPr="00E4137D" w:rsidRDefault="00E4137D" w:rsidP="00E4137D">
            <w:pPr>
              <w:spacing w:after="0" w:line="240" w:lineRule="auto"/>
              <w:jc w:val="center"/>
              <w:rPr>
                <w:rFonts w:ascii="Arial" w:eastAsia="Times New Roman" w:hAnsi="Arial" w:cs="Arial"/>
                <w:color w:val="auto"/>
              </w:rPr>
            </w:pPr>
            <w:r w:rsidRPr="00E4137D">
              <w:rPr>
                <w:rFonts w:ascii="Arial" w:eastAsia="Times New Roman" w:hAnsi="Arial" w:cs="Arial"/>
                <w:color w:val="auto"/>
              </w:rPr>
              <w:t>125</w:t>
            </w:r>
          </w:p>
        </w:tc>
        <w:tc>
          <w:tcPr>
            <w:tcW w:w="1312" w:type="dxa"/>
            <w:tcBorders>
              <w:top w:val="nil"/>
              <w:left w:val="nil"/>
              <w:bottom w:val="single" w:sz="8" w:space="0" w:color="auto"/>
              <w:right w:val="single" w:sz="8" w:space="0" w:color="auto"/>
            </w:tcBorders>
            <w:shd w:val="clear" w:color="auto" w:fill="auto"/>
            <w:noWrap/>
            <w:vAlign w:val="bottom"/>
            <w:hideMark/>
          </w:tcPr>
          <w:p w:rsidR="00E4137D" w:rsidRPr="00E4137D" w:rsidRDefault="00E4137D" w:rsidP="00E4137D">
            <w:pPr>
              <w:spacing w:after="0" w:line="240" w:lineRule="auto"/>
              <w:jc w:val="center"/>
              <w:rPr>
                <w:rFonts w:ascii="Arial" w:eastAsia="Times New Roman" w:hAnsi="Arial" w:cs="Arial"/>
                <w:color w:val="auto"/>
              </w:rPr>
            </w:pPr>
            <w:r w:rsidRPr="00E4137D">
              <w:rPr>
                <w:rFonts w:ascii="Arial" w:eastAsia="Times New Roman" w:hAnsi="Arial" w:cs="Arial"/>
                <w:color w:val="auto"/>
              </w:rPr>
              <w:t>162</w:t>
            </w:r>
          </w:p>
        </w:tc>
        <w:tc>
          <w:tcPr>
            <w:tcW w:w="1417" w:type="dxa"/>
            <w:tcBorders>
              <w:top w:val="nil"/>
              <w:left w:val="nil"/>
              <w:bottom w:val="single" w:sz="8" w:space="0" w:color="auto"/>
              <w:right w:val="single" w:sz="8" w:space="0" w:color="auto"/>
            </w:tcBorders>
            <w:shd w:val="clear" w:color="auto" w:fill="auto"/>
            <w:noWrap/>
            <w:vAlign w:val="bottom"/>
            <w:hideMark/>
          </w:tcPr>
          <w:p w:rsidR="00E4137D" w:rsidRPr="00E4137D" w:rsidRDefault="00E4137D" w:rsidP="00E4137D">
            <w:pPr>
              <w:spacing w:after="0" w:line="240" w:lineRule="auto"/>
              <w:jc w:val="center"/>
              <w:rPr>
                <w:rFonts w:ascii="Arial" w:eastAsia="Times New Roman" w:hAnsi="Arial" w:cs="Arial"/>
                <w:color w:val="auto"/>
              </w:rPr>
            </w:pPr>
            <w:r w:rsidRPr="00E4137D">
              <w:rPr>
                <w:rFonts w:ascii="Arial" w:eastAsia="Times New Roman" w:hAnsi="Arial" w:cs="Arial"/>
                <w:color w:val="auto"/>
              </w:rPr>
              <w:t>580</w:t>
            </w:r>
          </w:p>
        </w:tc>
      </w:tr>
      <w:tr w:rsidR="00AA304A" w:rsidRPr="00E4137D" w:rsidTr="00AA304A">
        <w:trPr>
          <w:trHeight w:val="300"/>
          <w:jc w:val="center"/>
        </w:trPr>
        <w:tc>
          <w:tcPr>
            <w:tcW w:w="1266" w:type="dxa"/>
            <w:tcBorders>
              <w:top w:val="nil"/>
              <w:left w:val="single" w:sz="8" w:space="0" w:color="auto"/>
              <w:bottom w:val="single" w:sz="8" w:space="0" w:color="auto"/>
              <w:right w:val="single" w:sz="8" w:space="0" w:color="auto"/>
            </w:tcBorders>
            <w:shd w:val="clear" w:color="auto" w:fill="auto"/>
            <w:noWrap/>
            <w:vAlign w:val="bottom"/>
            <w:hideMark/>
          </w:tcPr>
          <w:p w:rsidR="00E4137D" w:rsidRPr="00E4137D" w:rsidRDefault="00E4137D" w:rsidP="00E4137D">
            <w:pPr>
              <w:spacing w:after="0" w:line="240" w:lineRule="auto"/>
              <w:rPr>
                <w:rFonts w:ascii="Arial" w:eastAsia="Times New Roman" w:hAnsi="Arial" w:cs="Arial"/>
                <w:color w:val="auto"/>
              </w:rPr>
            </w:pPr>
            <w:r w:rsidRPr="00E4137D">
              <w:rPr>
                <w:rFonts w:ascii="Arial" w:eastAsia="Times New Roman" w:hAnsi="Arial" w:cs="Arial"/>
                <w:color w:val="auto"/>
              </w:rPr>
              <w:t>Total</w:t>
            </w:r>
          </w:p>
        </w:tc>
        <w:tc>
          <w:tcPr>
            <w:tcW w:w="1311" w:type="dxa"/>
            <w:tcBorders>
              <w:top w:val="nil"/>
              <w:left w:val="nil"/>
              <w:bottom w:val="single" w:sz="8" w:space="0" w:color="auto"/>
              <w:right w:val="single" w:sz="8" w:space="0" w:color="auto"/>
            </w:tcBorders>
            <w:shd w:val="clear" w:color="auto" w:fill="auto"/>
            <w:noWrap/>
            <w:vAlign w:val="bottom"/>
            <w:hideMark/>
          </w:tcPr>
          <w:p w:rsidR="00E4137D" w:rsidRPr="00E4137D" w:rsidRDefault="00E4137D" w:rsidP="00E4137D">
            <w:pPr>
              <w:spacing w:after="0" w:line="240" w:lineRule="auto"/>
              <w:jc w:val="center"/>
              <w:rPr>
                <w:rFonts w:ascii="Arial" w:eastAsia="Times New Roman" w:hAnsi="Arial" w:cs="Arial"/>
                <w:color w:val="auto"/>
              </w:rPr>
            </w:pPr>
            <w:r w:rsidRPr="00E4137D">
              <w:rPr>
                <w:rFonts w:ascii="Arial" w:eastAsia="Times New Roman" w:hAnsi="Arial" w:cs="Arial"/>
                <w:color w:val="auto"/>
              </w:rPr>
              <w:t>433</w:t>
            </w:r>
          </w:p>
        </w:tc>
        <w:tc>
          <w:tcPr>
            <w:tcW w:w="1311" w:type="dxa"/>
            <w:tcBorders>
              <w:top w:val="nil"/>
              <w:left w:val="nil"/>
              <w:bottom w:val="single" w:sz="8" w:space="0" w:color="auto"/>
              <w:right w:val="single" w:sz="8" w:space="0" w:color="auto"/>
            </w:tcBorders>
            <w:shd w:val="clear" w:color="auto" w:fill="auto"/>
            <w:noWrap/>
            <w:vAlign w:val="bottom"/>
            <w:hideMark/>
          </w:tcPr>
          <w:p w:rsidR="00E4137D" w:rsidRPr="00E4137D" w:rsidRDefault="00E4137D" w:rsidP="00E4137D">
            <w:pPr>
              <w:spacing w:after="0" w:line="240" w:lineRule="auto"/>
              <w:jc w:val="center"/>
              <w:rPr>
                <w:rFonts w:ascii="Arial" w:eastAsia="Times New Roman" w:hAnsi="Arial" w:cs="Arial"/>
                <w:color w:val="auto"/>
              </w:rPr>
            </w:pPr>
            <w:r w:rsidRPr="00E4137D">
              <w:rPr>
                <w:rFonts w:ascii="Arial" w:eastAsia="Times New Roman" w:hAnsi="Arial" w:cs="Arial"/>
                <w:color w:val="auto"/>
              </w:rPr>
              <w:t>433</w:t>
            </w:r>
          </w:p>
        </w:tc>
        <w:tc>
          <w:tcPr>
            <w:tcW w:w="1311" w:type="dxa"/>
            <w:tcBorders>
              <w:top w:val="nil"/>
              <w:left w:val="nil"/>
              <w:bottom w:val="single" w:sz="8" w:space="0" w:color="auto"/>
              <w:right w:val="single" w:sz="8" w:space="0" w:color="auto"/>
            </w:tcBorders>
            <w:shd w:val="clear" w:color="auto" w:fill="auto"/>
            <w:noWrap/>
            <w:vAlign w:val="bottom"/>
            <w:hideMark/>
          </w:tcPr>
          <w:p w:rsidR="00E4137D" w:rsidRPr="00E4137D" w:rsidRDefault="00E4137D" w:rsidP="00E4137D">
            <w:pPr>
              <w:spacing w:after="0" w:line="240" w:lineRule="auto"/>
              <w:jc w:val="center"/>
              <w:rPr>
                <w:rFonts w:ascii="Arial" w:eastAsia="Times New Roman" w:hAnsi="Arial" w:cs="Arial"/>
                <w:color w:val="auto"/>
              </w:rPr>
            </w:pPr>
            <w:r w:rsidRPr="00E4137D">
              <w:rPr>
                <w:rFonts w:ascii="Arial" w:eastAsia="Times New Roman" w:hAnsi="Arial" w:cs="Arial"/>
                <w:color w:val="auto"/>
              </w:rPr>
              <w:t>432</w:t>
            </w:r>
          </w:p>
        </w:tc>
        <w:tc>
          <w:tcPr>
            <w:tcW w:w="1312" w:type="dxa"/>
            <w:tcBorders>
              <w:top w:val="nil"/>
              <w:left w:val="nil"/>
              <w:bottom w:val="single" w:sz="8" w:space="0" w:color="auto"/>
              <w:right w:val="single" w:sz="8" w:space="0" w:color="auto"/>
            </w:tcBorders>
            <w:shd w:val="clear" w:color="auto" w:fill="auto"/>
            <w:noWrap/>
            <w:vAlign w:val="bottom"/>
            <w:hideMark/>
          </w:tcPr>
          <w:p w:rsidR="00E4137D" w:rsidRPr="00E4137D" w:rsidRDefault="00E4137D" w:rsidP="00E4137D">
            <w:pPr>
              <w:spacing w:after="0" w:line="240" w:lineRule="auto"/>
              <w:jc w:val="center"/>
              <w:rPr>
                <w:rFonts w:ascii="Arial" w:eastAsia="Times New Roman" w:hAnsi="Arial" w:cs="Arial"/>
                <w:color w:val="auto"/>
              </w:rPr>
            </w:pPr>
            <w:r w:rsidRPr="00E4137D">
              <w:rPr>
                <w:rFonts w:ascii="Arial" w:eastAsia="Times New Roman" w:hAnsi="Arial" w:cs="Arial"/>
                <w:color w:val="auto"/>
              </w:rPr>
              <w:t>432</w:t>
            </w:r>
          </w:p>
        </w:tc>
        <w:tc>
          <w:tcPr>
            <w:tcW w:w="1417" w:type="dxa"/>
            <w:tcBorders>
              <w:top w:val="nil"/>
              <w:left w:val="nil"/>
              <w:bottom w:val="single" w:sz="8" w:space="0" w:color="auto"/>
              <w:right w:val="single" w:sz="8" w:space="0" w:color="auto"/>
            </w:tcBorders>
            <w:shd w:val="clear" w:color="auto" w:fill="auto"/>
            <w:noWrap/>
            <w:vAlign w:val="bottom"/>
            <w:hideMark/>
          </w:tcPr>
          <w:p w:rsidR="00E4137D" w:rsidRPr="00E4137D" w:rsidRDefault="00E4137D" w:rsidP="00E4137D">
            <w:pPr>
              <w:spacing w:after="0" w:line="240" w:lineRule="auto"/>
              <w:jc w:val="center"/>
              <w:rPr>
                <w:rFonts w:ascii="Arial" w:eastAsia="Times New Roman" w:hAnsi="Arial" w:cs="Arial"/>
                <w:color w:val="auto"/>
              </w:rPr>
            </w:pPr>
            <w:r w:rsidRPr="00E4137D">
              <w:rPr>
                <w:rFonts w:ascii="Arial" w:eastAsia="Times New Roman" w:hAnsi="Arial" w:cs="Arial"/>
                <w:color w:val="auto"/>
              </w:rPr>
              <w:t>1730</w:t>
            </w:r>
          </w:p>
        </w:tc>
      </w:tr>
    </w:tbl>
    <w:p w:rsidR="00E4137D" w:rsidRDefault="00E4137D">
      <w:pPr>
        <w:spacing w:after="3"/>
        <w:ind w:left="14" w:hanging="10"/>
        <w:rPr>
          <w:rFonts w:ascii="Arial" w:hAnsi="Arial" w:cs="Arial"/>
          <w:sz w:val="24"/>
          <w:szCs w:val="24"/>
        </w:rPr>
      </w:pPr>
    </w:p>
    <w:p w:rsidR="00F4245F" w:rsidRPr="00302ECA" w:rsidRDefault="005D2318">
      <w:pPr>
        <w:spacing w:after="3"/>
        <w:ind w:left="14" w:hanging="10"/>
        <w:rPr>
          <w:rFonts w:ascii="Arial" w:hAnsi="Arial" w:cs="Arial"/>
          <w:b/>
          <w:sz w:val="24"/>
          <w:szCs w:val="24"/>
        </w:rPr>
      </w:pPr>
      <w:r w:rsidRPr="00302ECA">
        <w:rPr>
          <w:rFonts w:ascii="Arial" w:hAnsi="Arial" w:cs="Arial"/>
          <w:b/>
          <w:sz w:val="24"/>
          <w:szCs w:val="24"/>
        </w:rPr>
        <w:t>Figure D - Percentage of Females and Males in Pay Quartiles</w:t>
      </w:r>
    </w:p>
    <w:p w:rsidR="00302ECA" w:rsidRDefault="00302ECA">
      <w:pPr>
        <w:spacing w:after="3"/>
        <w:ind w:left="14" w:hanging="10"/>
        <w:rPr>
          <w:rFonts w:ascii="Arial" w:hAnsi="Arial" w:cs="Arial"/>
          <w:sz w:val="24"/>
          <w:szCs w:val="24"/>
        </w:rPr>
      </w:pPr>
    </w:p>
    <w:p w:rsidR="000C529E" w:rsidRDefault="00C112F2" w:rsidP="005A0618">
      <w:pPr>
        <w:spacing w:after="3"/>
        <w:ind w:left="14" w:hanging="10"/>
        <w:jc w:val="center"/>
        <w:rPr>
          <w:rFonts w:ascii="Arial" w:hAnsi="Arial" w:cs="Arial"/>
          <w:sz w:val="24"/>
          <w:szCs w:val="24"/>
        </w:rPr>
      </w:pPr>
      <w:r>
        <w:rPr>
          <w:noProof/>
        </w:rPr>
        <w:drawing>
          <wp:inline distT="0" distB="0" distL="0" distR="0" wp14:anchorId="00F32958" wp14:editId="6BC4059A">
            <wp:extent cx="5760085" cy="2347112"/>
            <wp:effectExtent l="0" t="0" r="12065"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529E" w:rsidRDefault="000C529E">
      <w:pPr>
        <w:spacing w:after="3"/>
        <w:ind w:left="14" w:hanging="10"/>
        <w:rPr>
          <w:rFonts w:ascii="Arial" w:hAnsi="Arial" w:cs="Arial"/>
          <w:sz w:val="24"/>
          <w:szCs w:val="24"/>
        </w:rPr>
      </w:pPr>
    </w:p>
    <w:p w:rsidR="0096222B" w:rsidRDefault="0096222B">
      <w:pPr>
        <w:spacing w:after="3"/>
        <w:ind w:left="14" w:hanging="10"/>
        <w:rPr>
          <w:rFonts w:ascii="Arial" w:hAnsi="Arial" w:cs="Arial"/>
          <w:sz w:val="24"/>
          <w:szCs w:val="24"/>
        </w:rPr>
      </w:pPr>
      <w:bookmarkStart w:id="0" w:name="_GoBack"/>
      <w:bookmarkEnd w:id="0"/>
    </w:p>
    <w:p w:rsidR="00F4245F" w:rsidRPr="00D22114" w:rsidRDefault="005D2318" w:rsidP="00D22114">
      <w:pPr>
        <w:pStyle w:val="ListParagraph"/>
        <w:numPr>
          <w:ilvl w:val="0"/>
          <w:numId w:val="5"/>
        </w:numPr>
        <w:spacing w:after="179" w:line="255" w:lineRule="auto"/>
        <w:ind w:right="143"/>
        <w:jc w:val="both"/>
        <w:rPr>
          <w:rFonts w:ascii="Arial" w:hAnsi="Arial" w:cs="Arial"/>
          <w:b/>
          <w:sz w:val="24"/>
          <w:szCs w:val="24"/>
        </w:rPr>
      </w:pPr>
      <w:r w:rsidRPr="00D22114">
        <w:rPr>
          <w:rFonts w:ascii="Arial" w:hAnsi="Arial" w:cs="Arial"/>
          <w:b/>
          <w:sz w:val="24"/>
          <w:szCs w:val="24"/>
        </w:rPr>
        <w:t xml:space="preserve">Comparison </w:t>
      </w:r>
      <w:r w:rsidRPr="00D22114">
        <w:rPr>
          <w:rFonts w:ascii="Arial" w:hAnsi="Arial" w:cs="Arial"/>
          <w:b/>
          <w:sz w:val="24"/>
          <w:szCs w:val="24"/>
        </w:rPr>
        <w:tab/>
        <w:t>Year 2 (2018)</w:t>
      </w:r>
      <w:r w:rsidR="001745A9">
        <w:rPr>
          <w:rFonts w:ascii="Arial" w:hAnsi="Arial" w:cs="Arial"/>
          <w:b/>
          <w:sz w:val="24"/>
          <w:szCs w:val="24"/>
        </w:rPr>
        <w:t xml:space="preserve"> and Year 3 (2019)</w:t>
      </w:r>
    </w:p>
    <w:p w:rsidR="00F4245F" w:rsidRDefault="005D2318">
      <w:pPr>
        <w:spacing w:after="100" w:line="261" w:lineRule="auto"/>
        <w:ind w:left="58" w:right="29" w:hanging="5"/>
        <w:rPr>
          <w:rFonts w:ascii="Arial" w:hAnsi="Arial" w:cs="Arial"/>
          <w:color w:val="auto"/>
          <w:sz w:val="24"/>
          <w:szCs w:val="24"/>
        </w:rPr>
      </w:pPr>
      <w:r w:rsidRPr="00D22114">
        <w:rPr>
          <w:rFonts w:ascii="Arial" w:hAnsi="Arial" w:cs="Arial"/>
          <w:sz w:val="24"/>
          <w:szCs w:val="24"/>
        </w:rPr>
        <w:t>SCTS headcount increas</w:t>
      </w:r>
      <w:r w:rsidR="0096222B">
        <w:rPr>
          <w:rFonts w:ascii="Arial" w:hAnsi="Arial" w:cs="Arial"/>
          <w:sz w:val="24"/>
          <w:szCs w:val="24"/>
        </w:rPr>
        <w:t>ed slightly during 2018/19 by 31</w:t>
      </w:r>
      <w:r w:rsidRPr="00D22114">
        <w:rPr>
          <w:rFonts w:ascii="Arial" w:hAnsi="Arial" w:cs="Arial"/>
          <w:sz w:val="24"/>
          <w:szCs w:val="24"/>
        </w:rPr>
        <w:t xml:space="preserve">. There has been no change to the proportion of female and male staff and the median </w:t>
      </w:r>
      <w:r w:rsidR="00816A8C">
        <w:rPr>
          <w:rFonts w:ascii="Arial" w:hAnsi="Arial" w:cs="Arial"/>
          <w:sz w:val="24"/>
          <w:szCs w:val="24"/>
        </w:rPr>
        <w:t xml:space="preserve">gender pay gap </w:t>
      </w:r>
      <w:r w:rsidRPr="00D22114">
        <w:rPr>
          <w:rFonts w:ascii="Arial" w:hAnsi="Arial" w:cs="Arial"/>
          <w:sz w:val="24"/>
          <w:szCs w:val="24"/>
        </w:rPr>
        <w:t xml:space="preserve">remains </w:t>
      </w:r>
      <w:r w:rsidR="00816A8C">
        <w:rPr>
          <w:rFonts w:ascii="Arial" w:hAnsi="Arial" w:cs="Arial"/>
          <w:sz w:val="24"/>
          <w:szCs w:val="24"/>
        </w:rPr>
        <w:t xml:space="preserve">at </w:t>
      </w:r>
      <w:r w:rsidRPr="00D22114">
        <w:rPr>
          <w:rFonts w:ascii="Arial" w:hAnsi="Arial" w:cs="Arial"/>
          <w:sz w:val="24"/>
          <w:szCs w:val="24"/>
        </w:rPr>
        <w:t xml:space="preserve">0%. The mean gender pay gap has </w:t>
      </w:r>
      <w:r w:rsidR="00EF448D">
        <w:rPr>
          <w:rFonts w:ascii="Arial" w:hAnsi="Arial" w:cs="Arial"/>
          <w:sz w:val="24"/>
          <w:szCs w:val="24"/>
        </w:rPr>
        <w:t xml:space="preserve">changed </w:t>
      </w:r>
      <w:r w:rsidR="00EF448D" w:rsidRPr="0096222B">
        <w:rPr>
          <w:rFonts w:ascii="Arial" w:hAnsi="Arial" w:cs="Arial"/>
          <w:color w:val="auto"/>
          <w:sz w:val="24"/>
          <w:szCs w:val="24"/>
        </w:rPr>
        <w:t xml:space="preserve">from </w:t>
      </w:r>
      <w:r w:rsidRPr="0096222B">
        <w:rPr>
          <w:rFonts w:ascii="Arial" w:hAnsi="Arial" w:cs="Arial"/>
          <w:color w:val="auto"/>
          <w:sz w:val="24"/>
          <w:szCs w:val="24"/>
        </w:rPr>
        <w:t xml:space="preserve">2.8% </w:t>
      </w:r>
      <w:r w:rsidR="00EF448D" w:rsidRPr="0096222B">
        <w:rPr>
          <w:rFonts w:ascii="Arial" w:hAnsi="Arial" w:cs="Arial"/>
          <w:color w:val="auto"/>
          <w:sz w:val="24"/>
          <w:szCs w:val="24"/>
        </w:rPr>
        <w:t xml:space="preserve">to 3.4% </w:t>
      </w:r>
      <w:r w:rsidRPr="0096222B">
        <w:rPr>
          <w:rFonts w:ascii="Arial" w:hAnsi="Arial" w:cs="Arial"/>
          <w:color w:val="auto"/>
          <w:sz w:val="24"/>
          <w:szCs w:val="24"/>
        </w:rPr>
        <w:t xml:space="preserve">(Figure E) indicating </w:t>
      </w:r>
      <w:r w:rsidR="0096222B" w:rsidRPr="0096222B">
        <w:rPr>
          <w:rFonts w:ascii="Arial" w:hAnsi="Arial" w:cs="Arial"/>
          <w:color w:val="auto"/>
          <w:sz w:val="24"/>
          <w:szCs w:val="24"/>
        </w:rPr>
        <w:t>that there has been a slight increase in the gap.</w:t>
      </w:r>
      <w:r w:rsidR="00816A8C">
        <w:rPr>
          <w:rFonts w:ascii="Arial" w:hAnsi="Arial" w:cs="Arial"/>
          <w:color w:val="auto"/>
          <w:sz w:val="24"/>
          <w:szCs w:val="24"/>
        </w:rPr>
        <w:t xml:space="preserve"> </w:t>
      </w:r>
    </w:p>
    <w:p w:rsidR="00B80145" w:rsidRPr="0096222B" w:rsidRDefault="00B80145">
      <w:pPr>
        <w:spacing w:after="100" w:line="261" w:lineRule="auto"/>
        <w:ind w:left="58" w:right="29" w:hanging="5"/>
        <w:rPr>
          <w:rFonts w:ascii="Arial" w:hAnsi="Arial" w:cs="Arial"/>
          <w:color w:val="auto"/>
          <w:sz w:val="24"/>
          <w:szCs w:val="24"/>
        </w:rPr>
      </w:pPr>
    </w:p>
    <w:p w:rsidR="00F4245F" w:rsidRPr="008F53FA" w:rsidRDefault="005D2318">
      <w:pPr>
        <w:spacing w:after="0"/>
        <w:ind w:left="53" w:hanging="10"/>
        <w:rPr>
          <w:rFonts w:ascii="Arial" w:hAnsi="Arial" w:cs="Arial"/>
          <w:b/>
          <w:sz w:val="24"/>
          <w:szCs w:val="24"/>
        </w:rPr>
      </w:pPr>
      <w:r w:rsidRPr="008F53FA">
        <w:rPr>
          <w:rFonts w:ascii="Arial" w:hAnsi="Arial" w:cs="Arial"/>
          <w:b/>
          <w:sz w:val="24"/>
          <w:szCs w:val="24"/>
        </w:rPr>
        <w:t>Figure E — Co</w:t>
      </w:r>
      <w:r w:rsidR="0096222B">
        <w:rPr>
          <w:rFonts w:ascii="Arial" w:hAnsi="Arial" w:cs="Arial"/>
          <w:b/>
          <w:sz w:val="24"/>
          <w:szCs w:val="24"/>
        </w:rPr>
        <w:t>mparative figures between Year 2 and Year 3</w:t>
      </w:r>
    </w:p>
    <w:p w:rsidR="008F53FA" w:rsidRPr="00D22114" w:rsidRDefault="008F53FA">
      <w:pPr>
        <w:spacing w:after="0"/>
        <w:ind w:left="53" w:hanging="10"/>
        <w:rPr>
          <w:rFonts w:ascii="Arial" w:hAnsi="Arial" w:cs="Arial"/>
          <w:sz w:val="24"/>
          <w:szCs w:val="24"/>
        </w:rPr>
      </w:pPr>
    </w:p>
    <w:tbl>
      <w:tblPr>
        <w:tblStyle w:val="TableGrid"/>
        <w:tblW w:w="8644" w:type="dxa"/>
        <w:jc w:val="center"/>
        <w:tblInd w:w="0" w:type="dxa"/>
        <w:tblLayout w:type="fixed"/>
        <w:tblCellMar>
          <w:top w:w="76" w:type="dxa"/>
          <w:left w:w="104" w:type="dxa"/>
          <w:bottom w:w="92" w:type="dxa"/>
          <w:right w:w="773" w:type="dxa"/>
        </w:tblCellMar>
        <w:tblLook w:val="04A0" w:firstRow="1" w:lastRow="0" w:firstColumn="1" w:lastColumn="0" w:noHBand="0" w:noVBand="1"/>
      </w:tblPr>
      <w:tblGrid>
        <w:gridCol w:w="1784"/>
        <w:gridCol w:w="2324"/>
        <w:gridCol w:w="2342"/>
        <w:gridCol w:w="2194"/>
      </w:tblGrid>
      <w:tr w:rsidR="00AA304A" w:rsidRPr="00664E82" w:rsidTr="005A0618">
        <w:trPr>
          <w:trHeight w:val="807"/>
          <w:jc w:val="center"/>
        </w:trPr>
        <w:tc>
          <w:tcPr>
            <w:tcW w:w="1784" w:type="dxa"/>
            <w:tcBorders>
              <w:top w:val="single" w:sz="2" w:space="0" w:color="000000"/>
              <w:left w:val="single" w:sz="2" w:space="0" w:color="000000"/>
              <w:bottom w:val="single" w:sz="2" w:space="0" w:color="000000"/>
              <w:right w:val="single" w:sz="2" w:space="0" w:color="000000"/>
            </w:tcBorders>
          </w:tcPr>
          <w:p w:rsidR="008F53FA" w:rsidRPr="00664E82" w:rsidRDefault="008F53FA" w:rsidP="00AA304A">
            <w:pPr>
              <w:rPr>
                <w:rFonts w:ascii="Arial" w:hAnsi="Arial" w:cs="Arial"/>
                <w:b/>
                <w:sz w:val="24"/>
                <w:szCs w:val="24"/>
              </w:rPr>
            </w:pPr>
          </w:p>
        </w:tc>
        <w:tc>
          <w:tcPr>
            <w:tcW w:w="2324" w:type="dxa"/>
            <w:tcBorders>
              <w:top w:val="single" w:sz="2" w:space="0" w:color="000000"/>
              <w:left w:val="single" w:sz="2" w:space="0" w:color="000000"/>
              <w:bottom w:val="single" w:sz="2" w:space="0" w:color="000000"/>
              <w:right w:val="single" w:sz="2" w:space="0" w:color="000000"/>
            </w:tcBorders>
            <w:vAlign w:val="center"/>
          </w:tcPr>
          <w:p w:rsidR="00B80145" w:rsidRPr="00B80145" w:rsidRDefault="00877DFC" w:rsidP="00AA304A">
            <w:pPr>
              <w:ind w:hanging="10"/>
              <w:rPr>
                <w:rFonts w:ascii="Arial" w:hAnsi="Arial" w:cs="Arial"/>
                <w:b/>
              </w:rPr>
            </w:pPr>
            <w:r w:rsidRPr="00B80145">
              <w:rPr>
                <w:rFonts w:ascii="Arial" w:hAnsi="Arial" w:cs="Arial"/>
                <w:b/>
              </w:rPr>
              <w:t>Year 2</w:t>
            </w:r>
          </w:p>
          <w:p w:rsidR="008F53FA" w:rsidRPr="00B80145" w:rsidRDefault="00877DFC" w:rsidP="00AA304A">
            <w:pPr>
              <w:ind w:hanging="10"/>
              <w:rPr>
                <w:rFonts w:ascii="Arial" w:hAnsi="Arial" w:cs="Arial"/>
                <w:b/>
              </w:rPr>
            </w:pPr>
            <w:r w:rsidRPr="00B80145">
              <w:rPr>
                <w:rFonts w:ascii="Arial" w:hAnsi="Arial" w:cs="Arial"/>
                <w:b/>
              </w:rPr>
              <w:t>(</w:t>
            </w:r>
            <w:r w:rsidR="00C112F2">
              <w:rPr>
                <w:rFonts w:ascii="Arial" w:hAnsi="Arial" w:cs="Arial"/>
                <w:b/>
              </w:rPr>
              <w:t xml:space="preserve">as at </w:t>
            </w:r>
            <w:r w:rsidRPr="00B80145">
              <w:rPr>
                <w:rFonts w:ascii="Arial" w:hAnsi="Arial" w:cs="Arial"/>
                <w:b/>
              </w:rPr>
              <w:t>March 2018)</w:t>
            </w:r>
          </w:p>
        </w:tc>
        <w:tc>
          <w:tcPr>
            <w:tcW w:w="2342" w:type="dxa"/>
            <w:tcBorders>
              <w:top w:val="single" w:sz="2" w:space="0" w:color="000000"/>
              <w:left w:val="single" w:sz="2" w:space="0" w:color="000000"/>
              <w:bottom w:val="single" w:sz="2" w:space="0" w:color="000000"/>
              <w:right w:val="single" w:sz="2" w:space="0" w:color="000000"/>
            </w:tcBorders>
            <w:vAlign w:val="center"/>
          </w:tcPr>
          <w:p w:rsidR="00B80145" w:rsidRDefault="008F53FA" w:rsidP="00AA304A">
            <w:pPr>
              <w:ind w:hanging="10"/>
              <w:rPr>
                <w:rFonts w:ascii="Arial" w:hAnsi="Arial" w:cs="Arial"/>
                <w:b/>
              </w:rPr>
            </w:pPr>
            <w:r w:rsidRPr="00B80145">
              <w:rPr>
                <w:rFonts w:ascii="Arial" w:hAnsi="Arial" w:cs="Arial"/>
                <w:b/>
              </w:rPr>
              <w:t xml:space="preserve">Year </w:t>
            </w:r>
            <w:r w:rsidR="001E74D5" w:rsidRPr="00B80145">
              <w:rPr>
                <w:rFonts w:ascii="Arial" w:hAnsi="Arial" w:cs="Arial"/>
                <w:b/>
              </w:rPr>
              <w:t>3</w:t>
            </w:r>
          </w:p>
          <w:p w:rsidR="008F53FA" w:rsidRPr="00B80145" w:rsidRDefault="008F53FA" w:rsidP="00AA304A">
            <w:pPr>
              <w:ind w:hanging="10"/>
              <w:rPr>
                <w:rFonts w:ascii="Arial" w:hAnsi="Arial" w:cs="Arial"/>
                <w:b/>
              </w:rPr>
            </w:pPr>
            <w:r w:rsidRPr="00B80145">
              <w:rPr>
                <w:rFonts w:ascii="Arial" w:hAnsi="Arial" w:cs="Arial"/>
                <w:b/>
              </w:rPr>
              <w:t>(</w:t>
            </w:r>
            <w:r w:rsidR="00C112F2">
              <w:rPr>
                <w:rFonts w:ascii="Arial" w:hAnsi="Arial" w:cs="Arial"/>
                <w:b/>
              </w:rPr>
              <w:t xml:space="preserve">as at </w:t>
            </w:r>
            <w:r w:rsidRPr="00B80145">
              <w:rPr>
                <w:rFonts w:ascii="Arial" w:hAnsi="Arial" w:cs="Arial"/>
                <w:b/>
              </w:rPr>
              <w:t>March 20</w:t>
            </w:r>
            <w:r w:rsidR="001E74D5" w:rsidRPr="00B80145">
              <w:rPr>
                <w:rFonts w:ascii="Arial" w:hAnsi="Arial" w:cs="Arial"/>
                <w:b/>
              </w:rPr>
              <w:t>19</w:t>
            </w:r>
            <w:r w:rsidRPr="00B80145">
              <w:rPr>
                <w:rFonts w:ascii="Arial" w:hAnsi="Arial" w:cs="Arial"/>
                <w:b/>
              </w:rPr>
              <w:t>)</w:t>
            </w:r>
          </w:p>
        </w:tc>
        <w:tc>
          <w:tcPr>
            <w:tcW w:w="2194" w:type="dxa"/>
            <w:tcBorders>
              <w:top w:val="single" w:sz="2" w:space="0" w:color="000000"/>
              <w:left w:val="single" w:sz="2" w:space="0" w:color="000000"/>
              <w:bottom w:val="single" w:sz="2" w:space="0" w:color="000000"/>
              <w:right w:val="single" w:sz="2" w:space="0" w:color="000000"/>
            </w:tcBorders>
          </w:tcPr>
          <w:p w:rsidR="00B80145" w:rsidRDefault="00B80145" w:rsidP="00AA304A">
            <w:pPr>
              <w:rPr>
                <w:rFonts w:ascii="Arial" w:hAnsi="Arial" w:cs="Arial"/>
                <w:b/>
              </w:rPr>
            </w:pPr>
          </w:p>
          <w:p w:rsidR="008F53FA" w:rsidRPr="005A0618" w:rsidRDefault="00C112F2" w:rsidP="00C112F2">
            <w:pPr>
              <w:rPr>
                <w:rFonts w:ascii="Arial" w:hAnsi="Arial" w:cs="Arial"/>
                <w:b/>
                <w:sz w:val="20"/>
                <w:szCs w:val="20"/>
              </w:rPr>
            </w:pPr>
            <w:r>
              <w:rPr>
                <w:rFonts w:ascii="Arial" w:hAnsi="Arial" w:cs="Arial"/>
                <w:b/>
              </w:rPr>
              <w:t xml:space="preserve">Percentage Point </w:t>
            </w:r>
            <w:r w:rsidR="008F53FA" w:rsidRPr="00B80145">
              <w:rPr>
                <w:rFonts w:ascii="Arial" w:hAnsi="Arial" w:cs="Arial"/>
                <w:b/>
              </w:rPr>
              <w:t>Difference</w:t>
            </w:r>
            <w:r>
              <w:rPr>
                <w:rFonts w:ascii="Arial" w:hAnsi="Arial" w:cs="Arial"/>
                <w:b/>
              </w:rPr>
              <w:t xml:space="preserve"> (pp)</w:t>
            </w:r>
          </w:p>
        </w:tc>
      </w:tr>
      <w:tr w:rsidR="0009577B" w:rsidRPr="00D22114" w:rsidTr="005A0618">
        <w:trPr>
          <w:trHeight w:val="528"/>
          <w:jc w:val="center"/>
        </w:trPr>
        <w:tc>
          <w:tcPr>
            <w:tcW w:w="1784" w:type="dxa"/>
            <w:tcBorders>
              <w:top w:val="single" w:sz="2" w:space="0" w:color="000000"/>
              <w:left w:val="single" w:sz="2" w:space="0" w:color="000000"/>
              <w:bottom w:val="single" w:sz="2" w:space="0" w:color="000000"/>
              <w:right w:val="single" w:sz="2" w:space="0" w:color="000000"/>
            </w:tcBorders>
            <w:vAlign w:val="center"/>
          </w:tcPr>
          <w:p w:rsidR="008F53FA" w:rsidRPr="00664E82" w:rsidRDefault="008F53FA" w:rsidP="00AA304A">
            <w:pPr>
              <w:rPr>
                <w:rFonts w:ascii="Arial" w:hAnsi="Arial" w:cs="Arial"/>
                <w:b/>
                <w:sz w:val="24"/>
                <w:szCs w:val="24"/>
              </w:rPr>
            </w:pPr>
            <w:r w:rsidRPr="00664E82">
              <w:rPr>
                <w:rFonts w:ascii="Arial" w:hAnsi="Arial" w:cs="Arial"/>
                <w:b/>
                <w:sz w:val="24"/>
                <w:szCs w:val="24"/>
              </w:rPr>
              <w:t>Mean</w:t>
            </w:r>
          </w:p>
        </w:tc>
        <w:tc>
          <w:tcPr>
            <w:tcW w:w="2324" w:type="dxa"/>
            <w:tcBorders>
              <w:top w:val="single" w:sz="2" w:space="0" w:color="000000"/>
              <w:left w:val="single" w:sz="2" w:space="0" w:color="000000"/>
              <w:bottom w:val="single" w:sz="2" w:space="0" w:color="000000"/>
              <w:right w:val="single" w:sz="2" w:space="0" w:color="000000"/>
            </w:tcBorders>
            <w:vAlign w:val="center"/>
          </w:tcPr>
          <w:p w:rsidR="008F53FA" w:rsidRPr="00D22114" w:rsidRDefault="008F53FA" w:rsidP="00A63800">
            <w:pPr>
              <w:rPr>
                <w:rFonts w:ascii="Arial" w:hAnsi="Arial" w:cs="Arial"/>
                <w:sz w:val="24"/>
                <w:szCs w:val="24"/>
              </w:rPr>
            </w:pPr>
            <w:r w:rsidRPr="00D22114">
              <w:rPr>
                <w:rFonts w:ascii="Arial" w:hAnsi="Arial" w:cs="Arial"/>
                <w:sz w:val="24"/>
                <w:szCs w:val="24"/>
              </w:rPr>
              <w:t>2.8%</w:t>
            </w:r>
          </w:p>
        </w:tc>
        <w:tc>
          <w:tcPr>
            <w:tcW w:w="2342" w:type="dxa"/>
            <w:tcBorders>
              <w:top w:val="single" w:sz="2" w:space="0" w:color="000000"/>
              <w:left w:val="single" w:sz="2" w:space="0" w:color="000000"/>
              <w:bottom w:val="single" w:sz="2" w:space="0" w:color="000000"/>
              <w:right w:val="single" w:sz="2" w:space="0" w:color="000000"/>
            </w:tcBorders>
            <w:vAlign w:val="center"/>
          </w:tcPr>
          <w:p w:rsidR="008F53FA" w:rsidRPr="00D22114" w:rsidRDefault="003513A3" w:rsidP="00A63800">
            <w:pPr>
              <w:rPr>
                <w:rFonts w:ascii="Arial" w:hAnsi="Arial" w:cs="Arial"/>
                <w:sz w:val="24"/>
                <w:szCs w:val="24"/>
              </w:rPr>
            </w:pPr>
            <w:r>
              <w:rPr>
                <w:rFonts w:ascii="Arial" w:hAnsi="Arial" w:cs="Arial"/>
                <w:sz w:val="24"/>
                <w:szCs w:val="24"/>
              </w:rPr>
              <w:t>3.4</w:t>
            </w:r>
            <w:r w:rsidR="008F53FA" w:rsidRPr="00D22114">
              <w:rPr>
                <w:rFonts w:ascii="Arial" w:hAnsi="Arial" w:cs="Arial"/>
                <w:sz w:val="24"/>
                <w:szCs w:val="24"/>
              </w:rPr>
              <w:t>%</w:t>
            </w:r>
          </w:p>
        </w:tc>
        <w:tc>
          <w:tcPr>
            <w:tcW w:w="2194" w:type="dxa"/>
            <w:tcBorders>
              <w:top w:val="single" w:sz="2" w:space="0" w:color="000000"/>
              <w:left w:val="single" w:sz="2" w:space="0" w:color="000000"/>
              <w:bottom w:val="single" w:sz="2" w:space="0" w:color="000000"/>
              <w:right w:val="single" w:sz="2" w:space="0" w:color="000000"/>
            </w:tcBorders>
          </w:tcPr>
          <w:p w:rsidR="008F53FA" w:rsidRPr="00D22114" w:rsidRDefault="00A63800" w:rsidP="00A63800">
            <w:pPr>
              <w:rPr>
                <w:rFonts w:ascii="Arial" w:hAnsi="Arial" w:cs="Arial"/>
                <w:sz w:val="24"/>
                <w:szCs w:val="24"/>
              </w:rPr>
            </w:pPr>
            <w:r>
              <w:rPr>
                <w:rFonts w:ascii="Arial" w:hAnsi="Arial" w:cs="Arial"/>
                <w:sz w:val="24"/>
                <w:szCs w:val="24"/>
              </w:rPr>
              <w:t>+</w:t>
            </w:r>
            <w:r w:rsidR="00664E82">
              <w:rPr>
                <w:rFonts w:ascii="Arial" w:hAnsi="Arial" w:cs="Arial"/>
                <w:sz w:val="24"/>
                <w:szCs w:val="24"/>
              </w:rPr>
              <w:t>0.6</w:t>
            </w:r>
            <w:r w:rsidR="00C112F2">
              <w:rPr>
                <w:rFonts w:ascii="Arial" w:hAnsi="Arial" w:cs="Arial"/>
                <w:sz w:val="24"/>
                <w:szCs w:val="24"/>
              </w:rPr>
              <w:t>pp</w:t>
            </w:r>
          </w:p>
        </w:tc>
      </w:tr>
      <w:tr w:rsidR="0009577B" w:rsidRPr="00D22114" w:rsidTr="005A0618">
        <w:trPr>
          <w:trHeight w:val="528"/>
          <w:jc w:val="center"/>
        </w:trPr>
        <w:tc>
          <w:tcPr>
            <w:tcW w:w="1784" w:type="dxa"/>
            <w:tcBorders>
              <w:top w:val="single" w:sz="2" w:space="0" w:color="000000"/>
              <w:left w:val="single" w:sz="2" w:space="0" w:color="000000"/>
              <w:bottom w:val="single" w:sz="2" w:space="0" w:color="000000"/>
              <w:right w:val="single" w:sz="2" w:space="0" w:color="000000"/>
            </w:tcBorders>
            <w:vAlign w:val="center"/>
          </w:tcPr>
          <w:p w:rsidR="008F53FA" w:rsidRPr="00664E82" w:rsidRDefault="008F53FA" w:rsidP="00A63800">
            <w:pPr>
              <w:rPr>
                <w:rFonts w:ascii="Arial" w:hAnsi="Arial" w:cs="Arial"/>
                <w:b/>
                <w:sz w:val="24"/>
                <w:szCs w:val="24"/>
              </w:rPr>
            </w:pPr>
            <w:r w:rsidRPr="00664E82">
              <w:rPr>
                <w:rFonts w:ascii="Arial" w:hAnsi="Arial" w:cs="Arial"/>
                <w:b/>
                <w:sz w:val="24"/>
                <w:szCs w:val="24"/>
              </w:rPr>
              <w:t>Median</w:t>
            </w:r>
          </w:p>
        </w:tc>
        <w:tc>
          <w:tcPr>
            <w:tcW w:w="2324" w:type="dxa"/>
            <w:tcBorders>
              <w:top w:val="single" w:sz="2" w:space="0" w:color="000000"/>
              <w:left w:val="single" w:sz="2" w:space="0" w:color="000000"/>
              <w:bottom w:val="single" w:sz="2" w:space="0" w:color="000000"/>
              <w:right w:val="single" w:sz="2" w:space="0" w:color="000000"/>
            </w:tcBorders>
          </w:tcPr>
          <w:p w:rsidR="008F53FA" w:rsidRPr="00D22114" w:rsidRDefault="0009577B" w:rsidP="00A63800">
            <w:pPr>
              <w:rPr>
                <w:rFonts w:ascii="Arial" w:hAnsi="Arial" w:cs="Arial"/>
                <w:sz w:val="24"/>
                <w:szCs w:val="24"/>
              </w:rPr>
            </w:pPr>
            <w:r>
              <w:rPr>
                <w:rFonts w:ascii="Arial" w:hAnsi="Arial" w:cs="Arial"/>
                <w:sz w:val="24"/>
                <w:szCs w:val="24"/>
              </w:rPr>
              <w:t>0%</w:t>
            </w:r>
          </w:p>
        </w:tc>
        <w:tc>
          <w:tcPr>
            <w:tcW w:w="2342" w:type="dxa"/>
            <w:tcBorders>
              <w:top w:val="single" w:sz="2" w:space="0" w:color="000000"/>
              <w:left w:val="single" w:sz="2" w:space="0" w:color="000000"/>
              <w:bottom w:val="single" w:sz="2" w:space="0" w:color="000000"/>
              <w:right w:val="single" w:sz="2" w:space="0" w:color="000000"/>
            </w:tcBorders>
          </w:tcPr>
          <w:p w:rsidR="008F53FA" w:rsidRPr="00D22114" w:rsidRDefault="008F53FA" w:rsidP="00A63800">
            <w:pPr>
              <w:rPr>
                <w:rFonts w:ascii="Arial" w:hAnsi="Arial" w:cs="Arial"/>
                <w:sz w:val="24"/>
                <w:szCs w:val="24"/>
              </w:rPr>
            </w:pPr>
            <w:r w:rsidRPr="00D22114">
              <w:rPr>
                <w:rFonts w:ascii="Arial" w:hAnsi="Arial" w:cs="Arial"/>
                <w:sz w:val="24"/>
                <w:szCs w:val="24"/>
              </w:rPr>
              <w:t>0</w:t>
            </w:r>
            <w:r w:rsidR="0009577B">
              <w:rPr>
                <w:rFonts w:ascii="Arial" w:hAnsi="Arial" w:cs="Arial"/>
                <w:sz w:val="24"/>
                <w:szCs w:val="24"/>
              </w:rPr>
              <w:t>%</w:t>
            </w:r>
          </w:p>
        </w:tc>
        <w:tc>
          <w:tcPr>
            <w:tcW w:w="2194" w:type="dxa"/>
            <w:tcBorders>
              <w:top w:val="single" w:sz="2" w:space="0" w:color="000000"/>
              <w:left w:val="single" w:sz="2" w:space="0" w:color="000000"/>
              <w:bottom w:val="single" w:sz="2" w:space="0" w:color="000000"/>
              <w:right w:val="single" w:sz="2" w:space="0" w:color="000000"/>
            </w:tcBorders>
            <w:vAlign w:val="center"/>
          </w:tcPr>
          <w:p w:rsidR="008F53FA" w:rsidRPr="00D22114" w:rsidRDefault="00C112F2" w:rsidP="00C112F2">
            <w:pPr>
              <w:rPr>
                <w:rFonts w:ascii="Arial" w:hAnsi="Arial" w:cs="Arial"/>
                <w:sz w:val="24"/>
                <w:szCs w:val="24"/>
              </w:rPr>
            </w:pPr>
            <w:r>
              <w:rPr>
                <w:rFonts w:ascii="Arial" w:hAnsi="Arial" w:cs="Arial"/>
                <w:sz w:val="24"/>
                <w:szCs w:val="24"/>
              </w:rPr>
              <w:t>0pp</w:t>
            </w:r>
          </w:p>
        </w:tc>
      </w:tr>
      <w:tr w:rsidR="0009577B" w:rsidRPr="00D22114" w:rsidTr="005A0618">
        <w:trPr>
          <w:trHeight w:val="922"/>
          <w:jc w:val="center"/>
        </w:trPr>
        <w:tc>
          <w:tcPr>
            <w:tcW w:w="1784" w:type="dxa"/>
            <w:tcBorders>
              <w:top w:val="single" w:sz="2" w:space="0" w:color="000000"/>
              <w:left w:val="single" w:sz="2" w:space="0" w:color="000000"/>
              <w:bottom w:val="single" w:sz="2" w:space="0" w:color="000000"/>
              <w:right w:val="single" w:sz="2" w:space="0" w:color="000000"/>
            </w:tcBorders>
          </w:tcPr>
          <w:p w:rsidR="008F53FA" w:rsidRPr="00664E82" w:rsidRDefault="008F53FA" w:rsidP="00AA304A">
            <w:pPr>
              <w:rPr>
                <w:rFonts w:ascii="Arial" w:hAnsi="Arial" w:cs="Arial"/>
                <w:b/>
                <w:sz w:val="24"/>
                <w:szCs w:val="24"/>
              </w:rPr>
            </w:pPr>
            <w:r w:rsidRPr="00664E82">
              <w:rPr>
                <w:rFonts w:ascii="Arial" w:hAnsi="Arial" w:cs="Arial"/>
                <w:b/>
                <w:sz w:val="24"/>
                <w:szCs w:val="24"/>
              </w:rPr>
              <w:t>Upper Quartile</w:t>
            </w:r>
          </w:p>
        </w:tc>
        <w:tc>
          <w:tcPr>
            <w:tcW w:w="2324" w:type="dxa"/>
            <w:tcBorders>
              <w:top w:val="single" w:sz="2" w:space="0" w:color="000000"/>
              <w:left w:val="single" w:sz="2" w:space="0" w:color="000000"/>
              <w:bottom w:val="single" w:sz="2" w:space="0" w:color="000000"/>
              <w:right w:val="single" w:sz="2" w:space="0" w:color="000000"/>
            </w:tcBorders>
            <w:vAlign w:val="center"/>
          </w:tcPr>
          <w:p w:rsidR="001E74D5" w:rsidRDefault="008F53FA" w:rsidP="00A63800">
            <w:pPr>
              <w:ind w:firstLine="5"/>
              <w:rPr>
                <w:rFonts w:ascii="Arial" w:hAnsi="Arial" w:cs="Arial"/>
                <w:sz w:val="24"/>
                <w:szCs w:val="24"/>
              </w:rPr>
            </w:pPr>
            <w:r w:rsidRPr="00D22114">
              <w:rPr>
                <w:rFonts w:ascii="Arial" w:hAnsi="Arial" w:cs="Arial"/>
                <w:sz w:val="24"/>
                <w:szCs w:val="24"/>
              </w:rPr>
              <w:t xml:space="preserve">Female: </w:t>
            </w:r>
            <w:r w:rsidR="00A63800">
              <w:rPr>
                <w:rFonts w:ascii="Arial" w:hAnsi="Arial" w:cs="Arial"/>
                <w:sz w:val="24"/>
                <w:szCs w:val="24"/>
              </w:rPr>
              <w:t>6</w:t>
            </w:r>
            <w:r w:rsidRPr="00D22114">
              <w:rPr>
                <w:rFonts w:ascii="Arial" w:hAnsi="Arial" w:cs="Arial"/>
                <w:sz w:val="24"/>
                <w:szCs w:val="24"/>
              </w:rPr>
              <w:t>3%</w:t>
            </w:r>
          </w:p>
          <w:p w:rsidR="008F53FA" w:rsidRPr="00D22114" w:rsidRDefault="008F53FA" w:rsidP="00A63800">
            <w:pPr>
              <w:ind w:firstLine="5"/>
              <w:rPr>
                <w:rFonts w:ascii="Arial" w:hAnsi="Arial" w:cs="Arial"/>
                <w:sz w:val="24"/>
                <w:szCs w:val="24"/>
              </w:rPr>
            </w:pPr>
            <w:r w:rsidRPr="00D22114">
              <w:rPr>
                <w:rFonts w:ascii="Arial" w:hAnsi="Arial" w:cs="Arial"/>
                <w:sz w:val="24"/>
                <w:szCs w:val="24"/>
              </w:rPr>
              <w:t>Male: 37%</w:t>
            </w:r>
          </w:p>
        </w:tc>
        <w:tc>
          <w:tcPr>
            <w:tcW w:w="2342" w:type="dxa"/>
            <w:tcBorders>
              <w:top w:val="single" w:sz="2" w:space="0" w:color="000000"/>
              <w:left w:val="single" w:sz="2" w:space="0" w:color="000000"/>
              <w:bottom w:val="single" w:sz="2" w:space="0" w:color="000000"/>
              <w:right w:val="single" w:sz="2" w:space="0" w:color="000000"/>
            </w:tcBorders>
            <w:vAlign w:val="center"/>
          </w:tcPr>
          <w:p w:rsidR="001E74D5" w:rsidRDefault="008F53FA" w:rsidP="00A63800">
            <w:pPr>
              <w:ind w:firstLine="5"/>
              <w:rPr>
                <w:rFonts w:ascii="Arial" w:hAnsi="Arial" w:cs="Arial"/>
                <w:sz w:val="24"/>
                <w:szCs w:val="24"/>
              </w:rPr>
            </w:pPr>
            <w:r w:rsidRPr="00D22114">
              <w:rPr>
                <w:rFonts w:ascii="Arial" w:hAnsi="Arial" w:cs="Arial"/>
                <w:sz w:val="24"/>
                <w:szCs w:val="24"/>
              </w:rPr>
              <w:t>Female: 63%</w:t>
            </w:r>
          </w:p>
          <w:p w:rsidR="008F53FA" w:rsidRPr="00D22114" w:rsidRDefault="008F53FA" w:rsidP="00A63800">
            <w:pPr>
              <w:ind w:firstLine="5"/>
              <w:rPr>
                <w:rFonts w:ascii="Arial" w:hAnsi="Arial" w:cs="Arial"/>
                <w:sz w:val="24"/>
                <w:szCs w:val="24"/>
              </w:rPr>
            </w:pPr>
            <w:r w:rsidRPr="00D22114">
              <w:rPr>
                <w:rFonts w:ascii="Arial" w:hAnsi="Arial" w:cs="Arial"/>
                <w:sz w:val="24"/>
                <w:szCs w:val="24"/>
              </w:rPr>
              <w:t>Male: 37%</w:t>
            </w:r>
          </w:p>
        </w:tc>
        <w:tc>
          <w:tcPr>
            <w:tcW w:w="2194" w:type="dxa"/>
            <w:tcBorders>
              <w:top w:val="single" w:sz="2" w:space="0" w:color="000000"/>
              <w:left w:val="single" w:sz="2" w:space="0" w:color="000000"/>
              <w:bottom w:val="single" w:sz="2" w:space="0" w:color="000000"/>
              <w:right w:val="single" w:sz="2" w:space="0" w:color="000000"/>
            </w:tcBorders>
            <w:vAlign w:val="center"/>
          </w:tcPr>
          <w:p w:rsidR="008F53FA" w:rsidRPr="00D22114" w:rsidRDefault="0009577B" w:rsidP="00A63800">
            <w:pPr>
              <w:rPr>
                <w:rFonts w:ascii="Arial" w:hAnsi="Arial" w:cs="Arial"/>
                <w:sz w:val="24"/>
                <w:szCs w:val="24"/>
              </w:rPr>
            </w:pPr>
            <w:r>
              <w:rPr>
                <w:rFonts w:ascii="Arial" w:hAnsi="Arial" w:cs="Arial"/>
                <w:sz w:val="24"/>
                <w:szCs w:val="24"/>
              </w:rPr>
              <w:t>0</w:t>
            </w:r>
            <w:r w:rsidR="00C112F2">
              <w:rPr>
                <w:rFonts w:ascii="Arial" w:hAnsi="Arial" w:cs="Arial"/>
                <w:sz w:val="24"/>
                <w:szCs w:val="24"/>
              </w:rPr>
              <w:t>pp</w:t>
            </w:r>
          </w:p>
          <w:p w:rsidR="008F53FA" w:rsidRPr="00D22114" w:rsidRDefault="0009577B" w:rsidP="00A63800">
            <w:pPr>
              <w:rPr>
                <w:rFonts w:ascii="Arial" w:hAnsi="Arial" w:cs="Arial"/>
                <w:sz w:val="24"/>
                <w:szCs w:val="24"/>
              </w:rPr>
            </w:pPr>
            <w:r>
              <w:rPr>
                <w:rFonts w:ascii="Arial" w:hAnsi="Arial" w:cs="Arial"/>
                <w:sz w:val="24"/>
                <w:szCs w:val="24"/>
              </w:rPr>
              <w:t>0</w:t>
            </w:r>
            <w:r w:rsidR="00C112F2">
              <w:rPr>
                <w:rFonts w:ascii="Arial" w:hAnsi="Arial" w:cs="Arial"/>
                <w:sz w:val="24"/>
                <w:szCs w:val="24"/>
              </w:rPr>
              <w:t>pp</w:t>
            </w:r>
          </w:p>
        </w:tc>
      </w:tr>
      <w:tr w:rsidR="0009577B" w:rsidRPr="00D22114" w:rsidTr="005A0618">
        <w:trPr>
          <w:trHeight w:val="931"/>
          <w:jc w:val="center"/>
        </w:trPr>
        <w:tc>
          <w:tcPr>
            <w:tcW w:w="1784" w:type="dxa"/>
            <w:tcBorders>
              <w:top w:val="single" w:sz="2" w:space="0" w:color="000000"/>
              <w:left w:val="single" w:sz="2" w:space="0" w:color="000000"/>
              <w:bottom w:val="single" w:sz="2" w:space="0" w:color="000000"/>
              <w:right w:val="single" w:sz="2" w:space="0" w:color="000000"/>
            </w:tcBorders>
          </w:tcPr>
          <w:p w:rsidR="008F53FA" w:rsidRPr="00664E82" w:rsidRDefault="008F53FA" w:rsidP="00AA304A">
            <w:pPr>
              <w:ind w:firstLine="10"/>
              <w:rPr>
                <w:rFonts w:ascii="Arial" w:hAnsi="Arial" w:cs="Arial"/>
                <w:b/>
                <w:sz w:val="24"/>
                <w:szCs w:val="24"/>
              </w:rPr>
            </w:pPr>
            <w:r w:rsidRPr="00664E82">
              <w:rPr>
                <w:rFonts w:ascii="Arial" w:hAnsi="Arial" w:cs="Arial"/>
                <w:b/>
                <w:sz w:val="24"/>
                <w:szCs w:val="24"/>
              </w:rPr>
              <w:t>Upper Middle Quartile</w:t>
            </w:r>
          </w:p>
        </w:tc>
        <w:tc>
          <w:tcPr>
            <w:tcW w:w="2324" w:type="dxa"/>
            <w:tcBorders>
              <w:top w:val="single" w:sz="2" w:space="0" w:color="000000"/>
              <w:left w:val="single" w:sz="2" w:space="0" w:color="000000"/>
              <w:bottom w:val="single" w:sz="2" w:space="0" w:color="000000"/>
              <w:right w:val="single" w:sz="2" w:space="0" w:color="000000"/>
            </w:tcBorders>
            <w:vAlign w:val="center"/>
          </w:tcPr>
          <w:p w:rsidR="008F53FA" w:rsidRPr="00D22114" w:rsidRDefault="008F53FA" w:rsidP="00A63800">
            <w:pPr>
              <w:rPr>
                <w:rFonts w:ascii="Arial" w:hAnsi="Arial" w:cs="Arial"/>
                <w:sz w:val="24"/>
                <w:szCs w:val="24"/>
              </w:rPr>
            </w:pPr>
            <w:r w:rsidRPr="00D22114">
              <w:rPr>
                <w:rFonts w:ascii="Arial" w:hAnsi="Arial" w:cs="Arial"/>
                <w:sz w:val="24"/>
                <w:szCs w:val="24"/>
              </w:rPr>
              <w:t>Female: 72%</w:t>
            </w:r>
          </w:p>
          <w:p w:rsidR="008F53FA" w:rsidRPr="00D22114" w:rsidRDefault="008F53FA" w:rsidP="00A63800">
            <w:pPr>
              <w:rPr>
                <w:rFonts w:ascii="Arial" w:hAnsi="Arial" w:cs="Arial"/>
                <w:sz w:val="24"/>
                <w:szCs w:val="24"/>
              </w:rPr>
            </w:pPr>
            <w:r w:rsidRPr="00D22114">
              <w:rPr>
                <w:rFonts w:ascii="Arial" w:hAnsi="Arial" w:cs="Arial"/>
                <w:sz w:val="24"/>
                <w:szCs w:val="24"/>
              </w:rPr>
              <w:t>Male:</w:t>
            </w:r>
            <w:r w:rsidR="003513A3">
              <w:rPr>
                <w:rFonts w:ascii="Arial" w:hAnsi="Arial" w:cs="Arial"/>
                <w:sz w:val="24"/>
                <w:szCs w:val="24"/>
              </w:rPr>
              <w:t xml:space="preserve"> 28%</w:t>
            </w:r>
          </w:p>
        </w:tc>
        <w:tc>
          <w:tcPr>
            <w:tcW w:w="2342" w:type="dxa"/>
            <w:tcBorders>
              <w:top w:val="single" w:sz="2" w:space="0" w:color="000000"/>
              <w:left w:val="single" w:sz="2" w:space="0" w:color="000000"/>
              <w:bottom w:val="single" w:sz="2" w:space="0" w:color="000000"/>
              <w:right w:val="single" w:sz="2" w:space="0" w:color="000000"/>
            </w:tcBorders>
            <w:vAlign w:val="center"/>
          </w:tcPr>
          <w:p w:rsidR="008F53FA" w:rsidRPr="00D22114" w:rsidRDefault="00664E82" w:rsidP="00A63800">
            <w:pPr>
              <w:rPr>
                <w:rFonts w:ascii="Arial" w:hAnsi="Arial" w:cs="Arial"/>
                <w:sz w:val="24"/>
                <w:szCs w:val="24"/>
              </w:rPr>
            </w:pPr>
            <w:r>
              <w:rPr>
                <w:rFonts w:ascii="Arial" w:hAnsi="Arial" w:cs="Arial"/>
                <w:sz w:val="24"/>
                <w:szCs w:val="24"/>
              </w:rPr>
              <w:t>Female: 71</w:t>
            </w:r>
            <w:r w:rsidR="008F53FA" w:rsidRPr="00D22114">
              <w:rPr>
                <w:rFonts w:ascii="Arial" w:hAnsi="Arial" w:cs="Arial"/>
                <w:sz w:val="24"/>
                <w:szCs w:val="24"/>
              </w:rPr>
              <w:t>%</w:t>
            </w:r>
          </w:p>
          <w:p w:rsidR="008F53FA" w:rsidRPr="00D22114" w:rsidRDefault="008F53FA" w:rsidP="00A63800">
            <w:pPr>
              <w:rPr>
                <w:rFonts w:ascii="Arial" w:hAnsi="Arial" w:cs="Arial"/>
                <w:sz w:val="24"/>
                <w:szCs w:val="24"/>
              </w:rPr>
            </w:pPr>
            <w:r w:rsidRPr="00D22114">
              <w:rPr>
                <w:rFonts w:ascii="Arial" w:hAnsi="Arial" w:cs="Arial"/>
                <w:sz w:val="24"/>
                <w:szCs w:val="24"/>
              </w:rPr>
              <w:t>Male:</w:t>
            </w:r>
            <w:r w:rsidR="00664E82">
              <w:rPr>
                <w:rFonts w:ascii="Arial" w:hAnsi="Arial" w:cs="Arial"/>
                <w:sz w:val="24"/>
                <w:szCs w:val="24"/>
              </w:rPr>
              <w:t xml:space="preserve"> 29</w:t>
            </w:r>
            <w:r w:rsidR="003513A3">
              <w:rPr>
                <w:rFonts w:ascii="Arial" w:hAnsi="Arial" w:cs="Arial"/>
                <w:sz w:val="24"/>
                <w:szCs w:val="24"/>
              </w:rPr>
              <w:t>%</w:t>
            </w:r>
          </w:p>
        </w:tc>
        <w:tc>
          <w:tcPr>
            <w:tcW w:w="2194" w:type="dxa"/>
            <w:tcBorders>
              <w:top w:val="single" w:sz="2" w:space="0" w:color="000000"/>
              <w:left w:val="single" w:sz="2" w:space="0" w:color="000000"/>
              <w:bottom w:val="single" w:sz="2" w:space="0" w:color="000000"/>
              <w:right w:val="single" w:sz="2" w:space="0" w:color="000000"/>
            </w:tcBorders>
          </w:tcPr>
          <w:p w:rsidR="00A63800" w:rsidRDefault="00A63800" w:rsidP="00A63800">
            <w:pPr>
              <w:rPr>
                <w:rFonts w:ascii="Arial" w:hAnsi="Arial" w:cs="Arial"/>
                <w:sz w:val="24"/>
                <w:szCs w:val="24"/>
              </w:rPr>
            </w:pPr>
          </w:p>
          <w:p w:rsidR="00A63800" w:rsidRDefault="00A63800" w:rsidP="00A63800">
            <w:pPr>
              <w:rPr>
                <w:rFonts w:ascii="Arial" w:hAnsi="Arial" w:cs="Arial"/>
                <w:sz w:val="24"/>
                <w:szCs w:val="24"/>
              </w:rPr>
            </w:pPr>
            <w:r>
              <w:rPr>
                <w:rFonts w:ascii="Arial" w:hAnsi="Arial" w:cs="Arial"/>
                <w:sz w:val="24"/>
                <w:szCs w:val="24"/>
              </w:rPr>
              <w:t>-1</w:t>
            </w:r>
            <w:r w:rsidR="00C112F2">
              <w:rPr>
                <w:rFonts w:ascii="Arial" w:hAnsi="Arial" w:cs="Arial"/>
                <w:sz w:val="24"/>
                <w:szCs w:val="24"/>
              </w:rPr>
              <w:t>pp</w:t>
            </w:r>
          </w:p>
          <w:p w:rsidR="00A63800" w:rsidRPr="00D22114" w:rsidRDefault="00A63800" w:rsidP="00C112F2">
            <w:pPr>
              <w:rPr>
                <w:rFonts w:ascii="Arial" w:hAnsi="Arial" w:cs="Arial"/>
                <w:sz w:val="24"/>
                <w:szCs w:val="24"/>
              </w:rPr>
            </w:pPr>
            <w:r>
              <w:rPr>
                <w:rFonts w:ascii="Arial" w:hAnsi="Arial" w:cs="Arial"/>
                <w:sz w:val="24"/>
                <w:szCs w:val="24"/>
              </w:rPr>
              <w:t>+1</w:t>
            </w:r>
            <w:r w:rsidR="00C112F2">
              <w:rPr>
                <w:rFonts w:ascii="Arial" w:hAnsi="Arial" w:cs="Arial"/>
                <w:sz w:val="24"/>
                <w:szCs w:val="24"/>
              </w:rPr>
              <w:t>pp</w:t>
            </w:r>
          </w:p>
        </w:tc>
      </w:tr>
      <w:tr w:rsidR="0009577B" w:rsidRPr="00D22114" w:rsidTr="005A0618">
        <w:trPr>
          <w:trHeight w:val="931"/>
          <w:jc w:val="center"/>
        </w:trPr>
        <w:tc>
          <w:tcPr>
            <w:tcW w:w="1784" w:type="dxa"/>
            <w:tcBorders>
              <w:top w:val="single" w:sz="2" w:space="0" w:color="000000"/>
              <w:left w:val="single" w:sz="2" w:space="0" w:color="000000"/>
              <w:bottom w:val="single" w:sz="2" w:space="0" w:color="000000"/>
              <w:right w:val="single" w:sz="2" w:space="0" w:color="000000"/>
            </w:tcBorders>
          </w:tcPr>
          <w:p w:rsidR="008F53FA" w:rsidRPr="00664E82" w:rsidRDefault="008F53FA" w:rsidP="00AA304A">
            <w:pPr>
              <w:ind w:firstLine="10"/>
              <w:rPr>
                <w:rFonts w:ascii="Arial" w:hAnsi="Arial" w:cs="Arial"/>
                <w:b/>
                <w:sz w:val="24"/>
                <w:szCs w:val="24"/>
              </w:rPr>
            </w:pPr>
            <w:r w:rsidRPr="00664E82">
              <w:rPr>
                <w:rFonts w:ascii="Arial" w:hAnsi="Arial" w:cs="Arial"/>
                <w:b/>
                <w:sz w:val="24"/>
                <w:szCs w:val="24"/>
              </w:rPr>
              <w:lastRenderedPageBreak/>
              <w:t>Lower Middle Quartile</w:t>
            </w:r>
          </w:p>
        </w:tc>
        <w:tc>
          <w:tcPr>
            <w:tcW w:w="2324" w:type="dxa"/>
            <w:tcBorders>
              <w:top w:val="single" w:sz="2" w:space="0" w:color="000000"/>
              <w:left w:val="single" w:sz="2" w:space="0" w:color="000000"/>
              <w:bottom w:val="single" w:sz="2" w:space="0" w:color="000000"/>
              <w:right w:val="single" w:sz="2" w:space="0" w:color="000000"/>
            </w:tcBorders>
            <w:vAlign w:val="center"/>
          </w:tcPr>
          <w:p w:rsidR="008F53FA" w:rsidRPr="00D22114" w:rsidRDefault="008F53FA" w:rsidP="00A63800">
            <w:pPr>
              <w:rPr>
                <w:rFonts w:ascii="Arial" w:hAnsi="Arial" w:cs="Arial"/>
                <w:sz w:val="24"/>
                <w:szCs w:val="24"/>
              </w:rPr>
            </w:pPr>
            <w:r w:rsidRPr="00D22114">
              <w:rPr>
                <w:rFonts w:ascii="Arial" w:hAnsi="Arial" w:cs="Arial"/>
                <w:sz w:val="24"/>
                <w:szCs w:val="24"/>
              </w:rPr>
              <w:t>Female: 75%</w:t>
            </w:r>
          </w:p>
          <w:p w:rsidR="008F53FA" w:rsidRPr="00D22114" w:rsidRDefault="008F53FA" w:rsidP="00A63800">
            <w:pPr>
              <w:rPr>
                <w:rFonts w:ascii="Arial" w:hAnsi="Arial" w:cs="Arial"/>
                <w:sz w:val="24"/>
                <w:szCs w:val="24"/>
              </w:rPr>
            </w:pPr>
            <w:r w:rsidRPr="00D22114">
              <w:rPr>
                <w:rFonts w:ascii="Arial" w:hAnsi="Arial" w:cs="Arial"/>
                <w:sz w:val="24"/>
                <w:szCs w:val="24"/>
              </w:rPr>
              <w:t>Male:</w:t>
            </w:r>
            <w:r w:rsidR="003513A3">
              <w:rPr>
                <w:rFonts w:ascii="Arial" w:hAnsi="Arial" w:cs="Arial"/>
                <w:sz w:val="24"/>
                <w:szCs w:val="24"/>
              </w:rPr>
              <w:t xml:space="preserve"> 25%</w:t>
            </w:r>
          </w:p>
        </w:tc>
        <w:tc>
          <w:tcPr>
            <w:tcW w:w="2342" w:type="dxa"/>
            <w:tcBorders>
              <w:top w:val="single" w:sz="2" w:space="0" w:color="000000"/>
              <w:left w:val="single" w:sz="2" w:space="0" w:color="000000"/>
              <w:bottom w:val="single" w:sz="2" w:space="0" w:color="000000"/>
              <w:right w:val="single" w:sz="2" w:space="0" w:color="000000"/>
            </w:tcBorders>
            <w:vAlign w:val="center"/>
          </w:tcPr>
          <w:p w:rsidR="008F53FA" w:rsidRPr="00D22114" w:rsidRDefault="00664E82" w:rsidP="00A63800">
            <w:pPr>
              <w:rPr>
                <w:rFonts w:ascii="Arial" w:hAnsi="Arial" w:cs="Arial"/>
                <w:sz w:val="24"/>
                <w:szCs w:val="24"/>
              </w:rPr>
            </w:pPr>
            <w:r>
              <w:rPr>
                <w:rFonts w:ascii="Arial" w:hAnsi="Arial" w:cs="Arial"/>
                <w:sz w:val="24"/>
                <w:szCs w:val="24"/>
              </w:rPr>
              <w:t>Female: 77</w:t>
            </w:r>
            <w:r w:rsidR="008F53FA" w:rsidRPr="00D22114">
              <w:rPr>
                <w:rFonts w:ascii="Arial" w:hAnsi="Arial" w:cs="Arial"/>
                <w:sz w:val="24"/>
                <w:szCs w:val="24"/>
              </w:rPr>
              <w:t>%</w:t>
            </w:r>
          </w:p>
          <w:p w:rsidR="008F53FA" w:rsidRPr="00D22114" w:rsidRDefault="008F53FA" w:rsidP="00A63800">
            <w:pPr>
              <w:rPr>
                <w:rFonts w:ascii="Arial" w:hAnsi="Arial" w:cs="Arial"/>
                <w:sz w:val="24"/>
                <w:szCs w:val="24"/>
              </w:rPr>
            </w:pPr>
            <w:r w:rsidRPr="00D22114">
              <w:rPr>
                <w:rFonts w:ascii="Arial" w:hAnsi="Arial" w:cs="Arial"/>
                <w:sz w:val="24"/>
                <w:szCs w:val="24"/>
              </w:rPr>
              <w:t>Male:</w:t>
            </w:r>
            <w:r w:rsidR="00664E82">
              <w:rPr>
                <w:rFonts w:ascii="Arial" w:hAnsi="Arial" w:cs="Arial"/>
                <w:sz w:val="24"/>
                <w:szCs w:val="24"/>
              </w:rPr>
              <w:t xml:space="preserve"> 23%</w:t>
            </w:r>
          </w:p>
        </w:tc>
        <w:tc>
          <w:tcPr>
            <w:tcW w:w="2194" w:type="dxa"/>
            <w:tcBorders>
              <w:top w:val="single" w:sz="2" w:space="0" w:color="000000"/>
              <w:left w:val="single" w:sz="2" w:space="0" w:color="000000"/>
              <w:bottom w:val="single" w:sz="2" w:space="0" w:color="000000"/>
              <w:right w:val="single" w:sz="2" w:space="0" w:color="000000"/>
            </w:tcBorders>
            <w:vAlign w:val="bottom"/>
          </w:tcPr>
          <w:p w:rsidR="008F53FA" w:rsidRDefault="008F53FA" w:rsidP="00A63800">
            <w:pPr>
              <w:rPr>
                <w:rFonts w:ascii="Arial" w:hAnsi="Arial" w:cs="Arial"/>
                <w:sz w:val="24"/>
                <w:szCs w:val="24"/>
              </w:rPr>
            </w:pPr>
            <w:r w:rsidRPr="00D22114">
              <w:rPr>
                <w:rFonts w:ascii="Arial" w:hAnsi="Arial" w:cs="Arial"/>
                <w:sz w:val="24"/>
                <w:szCs w:val="24"/>
              </w:rPr>
              <w:t>+</w:t>
            </w:r>
            <w:r w:rsidR="009059A2">
              <w:rPr>
                <w:rFonts w:ascii="Arial" w:hAnsi="Arial" w:cs="Arial"/>
                <w:sz w:val="24"/>
                <w:szCs w:val="24"/>
              </w:rPr>
              <w:t>2</w:t>
            </w:r>
            <w:r w:rsidR="00C112F2">
              <w:rPr>
                <w:rFonts w:ascii="Arial" w:hAnsi="Arial" w:cs="Arial"/>
                <w:sz w:val="24"/>
                <w:szCs w:val="24"/>
              </w:rPr>
              <w:t>pp</w:t>
            </w:r>
          </w:p>
          <w:p w:rsidR="00AA5229" w:rsidRDefault="009059A2" w:rsidP="00A63800">
            <w:pPr>
              <w:rPr>
                <w:rFonts w:ascii="Arial" w:hAnsi="Arial" w:cs="Arial"/>
                <w:sz w:val="24"/>
                <w:szCs w:val="24"/>
              </w:rPr>
            </w:pPr>
            <w:r>
              <w:rPr>
                <w:rFonts w:ascii="Arial" w:hAnsi="Arial" w:cs="Arial"/>
                <w:sz w:val="24"/>
                <w:szCs w:val="24"/>
              </w:rPr>
              <w:t>-2</w:t>
            </w:r>
            <w:r w:rsidR="00C112F2">
              <w:rPr>
                <w:rFonts w:ascii="Arial" w:hAnsi="Arial" w:cs="Arial"/>
                <w:sz w:val="24"/>
                <w:szCs w:val="24"/>
              </w:rPr>
              <w:t>pp</w:t>
            </w:r>
          </w:p>
          <w:p w:rsidR="002E392E" w:rsidRPr="00D22114" w:rsidRDefault="002E392E" w:rsidP="00A63800">
            <w:pPr>
              <w:rPr>
                <w:rFonts w:ascii="Arial" w:hAnsi="Arial" w:cs="Arial"/>
                <w:sz w:val="24"/>
                <w:szCs w:val="24"/>
              </w:rPr>
            </w:pPr>
          </w:p>
        </w:tc>
      </w:tr>
      <w:tr w:rsidR="0009577B" w:rsidRPr="00D22114" w:rsidTr="005A0618">
        <w:trPr>
          <w:trHeight w:val="922"/>
          <w:jc w:val="center"/>
        </w:trPr>
        <w:tc>
          <w:tcPr>
            <w:tcW w:w="1784" w:type="dxa"/>
            <w:tcBorders>
              <w:top w:val="single" w:sz="2" w:space="0" w:color="000000"/>
              <w:left w:val="single" w:sz="2" w:space="0" w:color="000000"/>
              <w:bottom w:val="single" w:sz="2" w:space="0" w:color="000000"/>
              <w:right w:val="single" w:sz="2" w:space="0" w:color="000000"/>
            </w:tcBorders>
          </w:tcPr>
          <w:p w:rsidR="008F53FA" w:rsidRPr="00664E82" w:rsidRDefault="008F53FA" w:rsidP="00AA304A">
            <w:pPr>
              <w:rPr>
                <w:rFonts w:ascii="Arial" w:hAnsi="Arial" w:cs="Arial"/>
                <w:b/>
                <w:sz w:val="24"/>
                <w:szCs w:val="24"/>
              </w:rPr>
            </w:pPr>
            <w:r w:rsidRPr="00664E82">
              <w:rPr>
                <w:rFonts w:ascii="Arial" w:hAnsi="Arial" w:cs="Arial"/>
                <w:b/>
                <w:sz w:val="24"/>
                <w:szCs w:val="24"/>
              </w:rPr>
              <w:t>Lower Quartile</w:t>
            </w:r>
          </w:p>
        </w:tc>
        <w:tc>
          <w:tcPr>
            <w:tcW w:w="2324" w:type="dxa"/>
            <w:tcBorders>
              <w:top w:val="single" w:sz="2" w:space="0" w:color="000000"/>
              <w:left w:val="single" w:sz="2" w:space="0" w:color="000000"/>
              <w:bottom w:val="single" w:sz="2" w:space="0" w:color="000000"/>
              <w:right w:val="single" w:sz="2" w:space="0" w:color="000000"/>
            </w:tcBorders>
            <w:vAlign w:val="center"/>
          </w:tcPr>
          <w:p w:rsidR="008F53FA" w:rsidRPr="00D22114" w:rsidRDefault="008F53FA" w:rsidP="00A63800">
            <w:pPr>
              <w:rPr>
                <w:rFonts w:ascii="Arial" w:hAnsi="Arial" w:cs="Arial"/>
                <w:sz w:val="24"/>
                <w:szCs w:val="24"/>
              </w:rPr>
            </w:pPr>
            <w:r w:rsidRPr="00D22114">
              <w:rPr>
                <w:rFonts w:ascii="Arial" w:hAnsi="Arial" w:cs="Arial"/>
                <w:sz w:val="24"/>
                <w:szCs w:val="24"/>
              </w:rPr>
              <w:t>Female:</w:t>
            </w:r>
            <w:r w:rsidR="003513A3">
              <w:rPr>
                <w:rFonts w:ascii="Arial" w:hAnsi="Arial" w:cs="Arial"/>
                <w:sz w:val="24"/>
                <w:szCs w:val="24"/>
              </w:rPr>
              <w:t xml:space="preserve"> 55%</w:t>
            </w:r>
          </w:p>
          <w:p w:rsidR="008F53FA" w:rsidRPr="00D22114" w:rsidRDefault="008F53FA" w:rsidP="00A63800">
            <w:pPr>
              <w:rPr>
                <w:rFonts w:ascii="Arial" w:hAnsi="Arial" w:cs="Arial"/>
                <w:sz w:val="24"/>
                <w:szCs w:val="24"/>
              </w:rPr>
            </w:pPr>
            <w:r w:rsidRPr="00D22114">
              <w:rPr>
                <w:rFonts w:ascii="Arial" w:hAnsi="Arial" w:cs="Arial"/>
                <w:sz w:val="24"/>
                <w:szCs w:val="24"/>
              </w:rPr>
              <w:t>Male:</w:t>
            </w:r>
            <w:r w:rsidR="003513A3">
              <w:rPr>
                <w:rFonts w:ascii="Arial" w:hAnsi="Arial" w:cs="Arial"/>
                <w:sz w:val="24"/>
                <w:szCs w:val="24"/>
              </w:rPr>
              <w:t xml:space="preserve"> 45%</w:t>
            </w:r>
          </w:p>
        </w:tc>
        <w:tc>
          <w:tcPr>
            <w:tcW w:w="2342" w:type="dxa"/>
            <w:tcBorders>
              <w:top w:val="single" w:sz="2" w:space="0" w:color="000000"/>
              <w:left w:val="single" w:sz="2" w:space="0" w:color="000000"/>
              <w:bottom w:val="single" w:sz="2" w:space="0" w:color="000000"/>
              <w:right w:val="single" w:sz="2" w:space="0" w:color="000000"/>
            </w:tcBorders>
            <w:vAlign w:val="center"/>
          </w:tcPr>
          <w:p w:rsidR="008F53FA" w:rsidRPr="00D22114" w:rsidRDefault="008F53FA" w:rsidP="00A63800">
            <w:pPr>
              <w:rPr>
                <w:rFonts w:ascii="Arial" w:hAnsi="Arial" w:cs="Arial"/>
                <w:sz w:val="24"/>
                <w:szCs w:val="24"/>
              </w:rPr>
            </w:pPr>
            <w:r w:rsidRPr="00D22114">
              <w:rPr>
                <w:rFonts w:ascii="Arial" w:hAnsi="Arial" w:cs="Arial"/>
                <w:sz w:val="24"/>
                <w:szCs w:val="24"/>
              </w:rPr>
              <w:t>Female:</w:t>
            </w:r>
            <w:r w:rsidR="00664E82">
              <w:rPr>
                <w:rFonts w:ascii="Arial" w:hAnsi="Arial" w:cs="Arial"/>
                <w:sz w:val="24"/>
                <w:szCs w:val="24"/>
              </w:rPr>
              <w:t xml:space="preserve"> 55%</w:t>
            </w:r>
          </w:p>
          <w:p w:rsidR="008F53FA" w:rsidRPr="00D22114" w:rsidRDefault="008F53FA" w:rsidP="00A63800">
            <w:pPr>
              <w:rPr>
                <w:rFonts w:ascii="Arial" w:hAnsi="Arial" w:cs="Arial"/>
                <w:sz w:val="24"/>
                <w:szCs w:val="24"/>
              </w:rPr>
            </w:pPr>
            <w:r w:rsidRPr="00D22114">
              <w:rPr>
                <w:rFonts w:ascii="Arial" w:hAnsi="Arial" w:cs="Arial"/>
                <w:sz w:val="24"/>
                <w:szCs w:val="24"/>
              </w:rPr>
              <w:t>Male:</w:t>
            </w:r>
            <w:r w:rsidR="00664E82">
              <w:rPr>
                <w:rFonts w:ascii="Arial" w:hAnsi="Arial" w:cs="Arial"/>
                <w:sz w:val="24"/>
                <w:szCs w:val="24"/>
              </w:rPr>
              <w:t xml:space="preserve"> 45%</w:t>
            </w:r>
          </w:p>
        </w:tc>
        <w:tc>
          <w:tcPr>
            <w:tcW w:w="2194" w:type="dxa"/>
            <w:tcBorders>
              <w:top w:val="single" w:sz="2" w:space="0" w:color="000000"/>
              <w:left w:val="single" w:sz="2" w:space="0" w:color="000000"/>
              <w:bottom w:val="single" w:sz="2" w:space="0" w:color="000000"/>
              <w:right w:val="single" w:sz="2" w:space="0" w:color="000000"/>
            </w:tcBorders>
          </w:tcPr>
          <w:p w:rsidR="008F53FA" w:rsidRDefault="009059A2" w:rsidP="00A63800">
            <w:pPr>
              <w:rPr>
                <w:rFonts w:ascii="Arial" w:hAnsi="Arial" w:cs="Arial"/>
                <w:sz w:val="24"/>
                <w:szCs w:val="24"/>
              </w:rPr>
            </w:pPr>
            <w:r>
              <w:rPr>
                <w:rFonts w:ascii="Arial" w:hAnsi="Arial" w:cs="Arial"/>
                <w:sz w:val="24"/>
                <w:szCs w:val="24"/>
              </w:rPr>
              <w:t>0</w:t>
            </w:r>
            <w:r w:rsidR="00C112F2">
              <w:rPr>
                <w:rFonts w:ascii="Arial" w:hAnsi="Arial" w:cs="Arial"/>
                <w:sz w:val="24"/>
                <w:szCs w:val="24"/>
              </w:rPr>
              <w:t>pp</w:t>
            </w:r>
          </w:p>
          <w:p w:rsidR="009059A2" w:rsidRPr="00D22114" w:rsidRDefault="009059A2" w:rsidP="00C112F2">
            <w:pPr>
              <w:rPr>
                <w:rFonts w:ascii="Arial" w:hAnsi="Arial" w:cs="Arial"/>
                <w:sz w:val="24"/>
                <w:szCs w:val="24"/>
              </w:rPr>
            </w:pPr>
            <w:r>
              <w:rPr>
                <w:rFonts w:ascii="Arial" w:hAnsi="Arial" w:cs="Arial"/>
                <w:sz w:val="24"/>
                <w:szCs w:val="24"/>
              </w:rPr>
              <w:t>0</w:t>
            </w:r>
            <w:r w:rsidR="00C112F2">
              <w:rPr>
                <w:rFonts w:ascii="Arial" w:hAnsi="Arial" w:cs="Arial"/>
                <w:sz w:val="24"/>
                <w:szCs w:val="24"/>
              </w:rPr>
              <w:t>pp</w:t>
            </w:r>
          </w:p>
        </w:tc>
      </w:tr>
    </w:tbl>
    <w:p w:rsidR="003001BF" w:rsidRPr="003001BF" w:rsidRDefault="003001BF" w:rsidP="003001BF">
      <w:pPr>
        <w:spacing w:after="179" w:line="255" w:lineRule="auto"/>
        <w:ind w:right="143"/>
        <w:jc w:val="both"/>
        <w:rPr>
          <w:rFonts w:ascii="Arial" w:hAnsi="Arial" w:cs="Arial"/>
          <w:sz w:val="24"/>
          <w:szCs w:val="24"/>
        </w:rPr>
      </w:pPr>
    </w:p>
    <w:p w:rsidR="00F4245F" w:rsidRPr="00D22114" w:rsidRDefault="005D2318" w:rsidP="00D22114">
      <w:pPr>
        <w:pStyle w:val="ListParagraph"/>
        <w:numPr>
          <w:ilvl w:val="0"/>
          <w:numId w:val="5"/>
        </w:numPr>
        <w:spacing w:after="179" w:line="255" w:lineRule="auto"/>
        <w:ind w:right="143"/>
        <w:jc w:val="both"/>
        <w:rPr>
          <w:rFonts w:ascii="Arial" w:hAnsi="Arial" w:cs="Arial"/>
          <w:b/>
          <w:sz w:val="24"/>
          <w:szCs w:val="24"/>
        </w:rPr>
      </w:pPr>
      <w:r w:rsidRPr="00D22114">
        <w:rPr>
          <w:rFonts w:ascii="Arial" w:hAnsi="Arial" w:cs="Arial"/>
          <w:b/>
          <w:sz w:val="24"/>
          <w:szCs w:val="24"/>
        </w:rPr>
        <w:t>Understanding the SCTS Gender Pay Gap</w:t>
      </w:r>
    </w:p>
    <w:p w:rsidR="00F4245F" w:rsidRPr="00260DE6" w:rsidRDefault="005D2318">
      <w:pPr>
        <w:spacing w:after="180" w:line="261" w:lineRule="auto"/>
        <w:ind w:left="10" w:right="29" w:hanging="5"/>
        <w:rPr>
          <w:rFonts w:ascii="Arial" w:hAnsi="Arial" w:cs="Arial"/>
          <w:color w:val="auto"/>
          <w:sz w:val="24"/>
          <w:szCs w:val="24"/>
        </w:rPr>
      </w:pPr>
      <w:r w:rsidRPr="00260DE6">
        <w:rPr>
          <w:rFonts w:ascii="Arial" w:hAnsi="Arial" w:cs="Arial"/>
          <w:color w:val="auto"/>
          <w:sz w:val="24"/>
          <w:szCs w:val="24"/>
        </w:rPr>
        <w:t xml:space="preserve">SCTS is pleased to be able to report there is no median gender pay gap and a very low percentage mean gender pay gap. SCTS </w:t>
      </w:r>
      <w:r w:rsidR="002E392E" w:rsidRPr="00260DE6">
        <w:rPr>
          <w:rFonts w:ascii="Arial" w:hAnsi="Arial" w:cs="Arial"/>
          <w:color w:val="auto"/>
          <w:sz w:val="24"/>
          <w:szCs w:val="24"/>
        </w:rPr>
        <w:t>is committed</w:t>
      </w:r>
      <w:r w:rsidR="005029BD" w:rsidRPr="00260DE6">
        <w:rPr>
          <w:rFonts w:ascii="Arial" w:hAnsi="Arial" w:cs="Arial"/>
          <w:color w:val="auto"/>
          <w:sz w:val="24"/>
          <w:szCs w:val="24"/>
        </w:rPr>
        <w:t xml:space="preserve"> to</w:t>
      </w:r>
      <w:r w:rsidR="00260DE6" w:rsidRPr="00260DE6">
        <w:rPr>
          <w:rFonts w:ascii="Arial" w:hAnsi="Arial" w:cs="Arial"/>
          <w:color w:val="auto"/>
          <w:sz w:val="24"/>
          <w:szCs w:val="24"/>
        </w:rPr>
        <w:t xml:space="preserve"> maintaining a low gender pay gap and to</w:t>
      </w:r>
      <w:r w:rsidR="005029BD" w:rsidRPr="00260DE6">
        <w:rPr>
          <w:rFonts w:ascii="Arial" w:hAnsi="Arial" w:cs="Arial"/>
          <w:color w:val="auto"/>
          <w:sz w:val="24"/>
          <w:szCs w:val="24"/>
        </w:rPr>
        <w:t xml:space="preserve"> continuing to monitor our results and t</w:t>
      </w:r>
      <w:r w:rsidR="00260DE6" w:rsidRPr="00260DE6">
        <w:rPr>
          <w:rFonts w:ascii="Arial" w:hAnsi="Arial" w:cs="Arial"/>
          <w:color w:val="auto"/>
          <w:sz w:val="24"/>
          <w:szCs w:val="24"/>
        </w:rPr>
        <w:t xml:space="preserve">he root causes of our </w:t>
      </w:r>
      <w:r w:rsidR="00260DE6">
        <w:rPr>
          <w:rFonts w:ascii="Arial" w:hAnsi="Arial" w:cs="Arial"/>
          <w:color w:val="auto"/>
          <w:sz w:val="24"/>
          <w:szCs w:val="24"/>
        </w:rPr>
        <w:t>gap</w:t>
      </w:r>
      <w:r w:rsidRPr="00260DE6">
        <w:rPr>
          <w:rFonts w:ascii="Arial" w:hAnsi="Arial" w:cs="Arial"/>
          <w:color w:val="auto"/>
          <w:sz w:val="24"/>
          <w:szCs w:val="24"/>
        </w:rPr>
        <w:t>.</w:t>
      </w:r>
    </w:p>
    <w:p w:rsidR="00F4245F" w:rsidRDefault="005D2318">
      <w:pPr>
        <w:spacing w:after="244" w:line="228" w:lineRule="auto"/>
        <w:ind w:right="119" w:firstLine="9"/>
        <w:jc w:val="both"/>
        <w:rPr>
          <w:rFonts w:ascii="Arial" w:hAnsi="Arial" w:cs="Arial"/>
          <w:sz w:val="24"/>
          <w:szCs w:val="24"/>
        </w:rPr>
      </w:pPr>
      <w:r w:rsidRPr="00D22114">
        <w:rPr>
          <w:rFonts w:ascii="Arial" w:hAnsi="Arial" w:cs="Arial"/>
          <w:sz w:val="24"/>
          <w:szCs w:val="24"/>
        </w:rPr>
        <w:t>SCTS provides all employees with choices so that a better balance between work and home life can be achieved. SCTS has a number of provisions which contribute positively to the culture of equality, inclusion and diversity and to a reduction in the gender pay gap. SCTS continues to monitor the impact that current measures have which include:</w:t>
      </w:r>
    </w:p>
    <w:p w:rsidR="00155B28" w:rsidRPr="00D22114" w:rsidRDefault="00155B28">
      <w:pPr>
        <w:spacing w:after="244" w:line="228" w:lineRule="auto"/>
        <w:ind w:right="119" w:firstLine="9"/>
        <w:jc w:val="both"/>
        <w:rPr>
          <w:rFonts w:ascii="Arial" w:hAnsi="Arial" w:cs="Arial"/>
          <w:sz w:val="24"/>
          <w:szCs w:val="24"/>
        </w:rPr>
      </w:pPr>
    </w:p>
    <w:p w:rsidR="00F4245F" w:rsidRDefault="005D2318">
      <w:pPr>
        <w:numPr>
          <w:ilvl w:val="0"/>
          <w:numId w:val="4"/>
        </w:numPr>
        <w:spacing w:after="244" w:line="228" w:lineRule="auto"/>
        <w:ind w:left="749" w:right="74" w:hanging="370"/>
        <w:rPr>
          <w:rFonts w:ascii="Arial" w:hAnsi="Arial" w:cs="Arial"/>
          <w:sz w:val="24"/>
          <w:szCs w:val="24"/>
        </w:rPr>
      </w:pPr>
      <w:r w:rsidRPr="00D22114">
        <w:rPr>
          <w:rFonts w:ascii="Arial" w:hAnsi="Arial" w:cs="Arial"/>
          <w:sz w:val="24"/>
          <w:szCs w:val="24"/>
        </w:rPr>
        <w:t>Recruitment initiatives including diverse selection panels, structured interviews and standardised marking criteria; online tests for entry level jobs and the option for skill-based assessments for posts at other grades</w:t>
      </w:r>
    </w:p>
    <w:p w:rsidR="00260DE6" w:rsidRDefault="00260DE6" w:rsidP="00260DE6">
      <w:pPr>
        <w:numPr>
          <w:ilvl w:val="0"/>
          <w:numId w:val="4"/>
        </w:numPr>
        <w:spacing w:after="244" w:line="228" w:lineRule="auto"/>
        <w:ind w:left="749" w:right="74" w:hanging="370"/>
        <w:rPr>
          <w:rFonts w:ascii="Arial" w:hAnsi="Arial" w:cs="Arial"/>
          <w:sz w:val="24"/>
          <w:szCs w:val="24"/>
        </w:rPr>
      </w:pPr>
      <w:r>
        <w:rPr>
          <w:rFonts w:ascii="Arial" w:hAnsi="Arial" w:cs="Arial"/>
          <w:sz w:val="24"/>
          <w:szCs w:val="24"/>
        </w:rPr>
        <w:lastRenderedPageBreak/>
        <w:t>Flexible working arrangements</w:t>
      </w:r>
    </w:p>
    <w:p w:rsidR="00F4245F" w:rsidRPr="00260DE6" w:rsidRDefault="005D2318" w:rsidP="00260DE6">
      <w:pPr>
        <w:numPr>
          <w:ilvl w:val="0"/>
          <w:numId w:val="4"/>
        </w:numPr>
        <w:spacing w:after="244" w:line="228" w:lineRule="auto"/>
        <w:ind w:left="749" w:right="74" w:hanging="370"/>
        <w:rPr>
          <w:rFonts w:ascii="Arial" w:hAnsi="Arial" w:cs="Arial"/>
          <w:sz w:val="24"/>
          <w:szCs w:val="24"/>
        </w:rPr>
      </w:pPr>
      <w:r w:rsidRPr="00260DE6">
        <w:rPr>
          <w:rFonts w:ascii="Arial" w:hAnsi="Arial" w:cs="Arial"/>
          <w:sz w:val="24"/>
          <w:szCs w:val="24"/>
        </w:rPr>
        <w:t>Enhanced parental leave and shared parental pay at the same level as enhanced maternity pay</w:t>
      </w:r>
    </w:p>
    <w:p w:rsidR="00260DE6" w:rsidRDefault="005D2318">
      <w:pPr>
        <w:numPr>
          <w:ilvl w:val="0"/>
          <w:numId w:val="4"/>
        </w:numPr>
        <w:spacing w:after="26" w:line="424" w:lineRule="auto"/>
        <w:ind w:left="749" w:right="74" w:hanging="370"/>
        <w:rPr>
          <w:rFonts w:ascii="Arial" w:hAnsi="Arial" w:cs="Arial"/>
          <w:sz w:val="24"/>
          <w:szCs w:val="24"/>
        </w:rPr>
      </w:pPr>
      <w:r w:rsidRPr="00D22114">
        <w:rPr>
          <w:rFonts w:ascii="Arial" w:hAnsi="Arial" w:cs="Arial"/>
          <w:sz w:val="24"/>
          <w:szCs w:val="24"/>
        </w:rPr>
        <w:t xml:space="preserve">Transparency in pay and reward processes </w:t>
      </w:r>
    </w:p>
    <w:p w:rsidR="00F4245F" w:rsidRPr="00D22114" w:rsidRDefault="005D2318">
      <w:pPr>
        <w:numPr>
          <w:ilvl w:val="0"/>
          <w:numId w:val="4"/>
        </w:numPr>
        <w:spacing w:after="26" w:line="424" w:lineRule="auto"/>
        <w:ind w:left="749" w:right="74" w:hanging="370"/>
        <w:rPr>
          <w:rFonts w:ascii="Arial" w:hAnsi="Arial" w:cs="Arial"/>
          <w:sz w:val="24"/>
          <w:szCs w:val="24"/>
        </w:rPr>
      </w:pPr>
      <w:r w:rsidRPr="00D22114">
        <w:rPr>
          <w:rFonts w:ascii="Arial" w:hAnsi="Arial" w:cs="Arial"/>
          <w:sz w:val="24"/>
          <w:szCs w:val="24"/>
        </w:rPr>
        <w:t>Scottish living wage employer accreditation</w:t>
      </w:r>
    </w:p>
    <w:p w:rsidR="00F4245F" w:rsidRPr="00D22114" w:rsidRDefault="005D2318">
      <w:pPr>
        <w:numPr>
          <w:ilvl w:val="0"/>
          <w:numId w:val="4"/>
        </w:numPr>
        <w:spacing w:after="222" w:line="261" w:lineRule="auto"/>
        <w:ind w:left="749" w:right="74" w:hanging="370"/>
        <w:rPr>
          <w:rFonts w:ascii="Arial" w:hAnsi="Arial" w:cs="Arial"/>
          <w:sz w:val="24"/>
          <w:szCs w:val="24"/>
        </w:rPr>
      </w:pPr>
      <w:r w:rsidRPr="00D22114">
        <w:rPr>
          <w:rFonts w:ascii="Arial" w:hAnsi="Arial" w:cs="Arial"/>
          <w:sz w:val="24"/>
          <w:szCs w:val="24"/>
        </w:rPr>
        <w:t>A job evaluation scheme</w:t>
      </w:r>
    </w:p>
    <w:p w:rsidR="00F4245F" w:rsidRPr="00D22114" w:rsidRDefault="005D2318">
      <w:pPr>
        <w:numPr>
          <w:ilvl w:val="0"/>
          <w:numId w:val="4"/>
        </w:numPr>
        <w:spacing w:after="185"/>
        <w:ind w:left="749" w:right="74" w:hanging="370"/>
        <w:rPr>
          <w:rFonts w:ascii="Arial" w:hAnsi="Arial" w:cs="Arial"/>
          <w:sz w:val="24"/>
          <w:szCs w:val="24"/>
        </w:rPr>
      </w:pPr>
      <w:r w:rsidRPr="00D22114">
        <w:rPr>
          <w:rFonts w:ascii="Arial" w:hAnsi="Arial" w:cs="Arial"/>
          <w:sz w:val="24"/>
          <w:szCs w:val="24"/>
        </w:rPr>
        <w:t>Carers group</w:t>
      </w:r>
    </w:p>
    <w:p w:rsidR="00F4245F" w:rsidRPr="00D22114" w:rsidRDefault="005D2318">
      <w:pPr>
        <w:numPr>
          <w:ilvl w:val="0"/>
          <w:numId w:val="4"/>
        </w:numPr>
        <w:spacing w:after="236" w:line="261" w:lineRule="auto"/>
        <w:ind w:left="749" w:right="74" w:hanging="370"/>
        <w:rPr>
          <w:rFonts w:ascii="Arial" w:hAnsi="Arial" w:cs="Arial"/>
          <w:sz w:val="24"/>
          <w:szCs w:val="24"/>
        </w:rPr>
      </w:pPr>
      <w:r w:rsidRPr="00D22114">
        <w:rPr>
          <w:rFonts w:ascii="Arial" w:hAnsi="Arial" w:cs="Arial"/>
          <w:sz w:val="24"/>
          <w:szCs w:val="24"/>
        </w:rPr>
        <w:t>Equality Advisory Group; diversity support networks and resources</w:t>
      </w:r>
    </w:p>
    <w:p w:rsidR="00260DE6" w:rsidRDefault="005D2318" w:rsidP="00260DE6">
      <w:pPr>
        <w:numPr>
          <w:ilvl w:val="0"/>
          <w:numId w:val="4"/>
        </w:numPr>
        <w:spacing w:after="180" w:line="261" w:lineRule="auto"/>
        <w:ind w:left="749" w:right="74" w:hanging="370"/>
        <w:rPr>
          <w:rFonts w:ascii="Arial" w:hAnsi="Arial" w:cs="Arial"/>
          <w:sz w:val="24"/>
          <w:szCs w:val="24"/>
        </w:rPr>
      </w:pPr>
      <w:r w:rsidRPr="00D22114">
        <w:rPr>
          <w:rFonts w:ascii="Arial" w:hAnsi="Arial" w:cs="Arial"/>
          <w:sz w:val="24"/>
          <w:szCs w:val="24"/>
        </w:rPr>
        <w:t>Wellbeing initiatives and support</w:t>
      </w:r>
    </w:p>
    <w:p w:rsidR="00F4245F" w:rsidRPr="00260DE6" w:rsidRDefault="005D2318" w:rsidP="00260DE6">
      <w:pPr>
        <w:numPr>
          <w:ilvl w:val="0"/>
          <w:numId w:val="4"/>
        </w:numPr>
        <w:spacing w:after="180" w:line="261" w:lineRule="auto"/>
        <w:ind w:left="749" w:right="74" w:hanging="370"/>
        <w:rPr>
          <w:rFonts w:ascii="Arial" w:hAnsi="Arial" w:cs="Arial"/>
          <w:sz w:val="24"/>
          <w:szCs w:val="24"/>
        </w:rPr>
      </w:pPr>
      <w:r w:rsidRPr="00260DE6">
        <w:rPr>
          <w:rFonts w:ascii="Arial" w:hAnsi="Arial" w:cs="Arial"/>
          <w:sz w:val="24"/>
          <w:szCs w:val="24"/>
        </w:rPr>
        <w:t>PCS Union partnership working</w:t>
      </w:r>
    </w:p>
    <w:p w:rsidR="00F4245F" w:rsidRPr="00D22114" w:rsidRDefault="005D2318">
      <w:pPr>
        <w:spacing w:after="255" w:line="261" w:lineRule="auto"/>
        <w:ind w:left="29" w:right="29" w:hanging="5"/>
        <w:rPr>
          <w:rFonts w:ascii="Arial" w:hAnsi="Arial" w:cs="Arial"/>
          <w:sz w:val="24"/>
          <w:szCs w:val="24"/>
        </w:rPr>
      </w:pPr>
      <w:r w:rsidRPr="00D22114">
        <w:rPr>
          <w:rFonts w:ascii="Arial" w:hAnsi="Arial" w:cs="Arial"/>
          <w:sz w:val="24"/>
          <w:szCs w:val="24"/>
        </w:rPr>
        <w:t xml:space="preserve">The SCTS also recognises the importance of achieving equal pay for employees carrying out equal work and that we should operate a pay system which is transparent, based on objective criteria and free from unfair bias on any grounds, including sex, race or disability. This is a fundamental principle which is central to SCTS policy on </w:t>
      </w:r>
      <w:r w:rsidRPr="00D22114">
        <w:rPr>
          <w:rFonts w:ascii="Arial" w:hAnsi="Arial" w:cs="Arial"/>
          <w:sz w:val="24"/>
          <w:szCs w:val="24"/>
        </w:rPr>
        <w:lastRenderedPageBreak/>
        <w:t>equality and diversity and pay related policies and practices</w:t>
      </w:r>
      <w:r w:rsidRPr="00F53751">
        <w:rPr>
          <w:rFonts w:ascii="Arial" w:hAnsi="Arial" w:cs="Arial"/>
          <w:sz w:val="24"/>
          <w:szCs w:val="24"/>
        </w:rPr>
        <w:t>.</w:t>
      </w:r>
      <w:r w:rsidR="009E4B52" w:rsidRPr="00F53751">
        <w:rPr>
          <w:rFonts w:ascii="Arial" w:hAnsi="Arial" w:cs="Arial"/>
          <w:sz w:val="24"/>
          <w:szCs w:val="24"/>
        </w:rPr>
        <w:t xml:space="preserve">  The latest SCTS E</w:t>
      </w:r>
      <w:r w:rsidR="00155B28" w:rsidRPr="00F53751">
        <w:rPr>
          <w:rFonts w:ascii="Arial" w:hAnsi="Arial" w:cs="Arial"/>
          <w:sz w:val="24"/>
          <w:szCs w:val="24"/>
        </w:rPr>
        <w:t>qual pay Statement and Report</w:t>
      </w:r>
      <w:r w:rsidR="009E4B52" w:rsidRPr="00F53751">
        <w:rPr>
          <w:rFonts w:ascii="Arial" w:hAnsi="Arial" w:cs="Arial"/>
          <w:sz w:val="24"/>
          <w:szCs w:val="24"/>
        </w:rPr>
        <w:t xml:space="preserve"> was published in November 2019.</w:t>
      </w:r>
      <w:r w:rsidR="009E4B52">
        <w:rPr>
          <w:rFonts w:ascii="Arial" w:hAnsi="Arial" w:cs="Arial"/>
          <w:sz w:val="24"/>
          <w:szCs w:val="24"/>
        </w:rPr>
        <w:t xml:space="preserve"> </w:t>
      </w:r>
    </w:p>
    <w:p w:rsidR="00F4245F" w:rsidRPr="00D22114" w:rsidRDefault="005D2318">
      <w:pPr>
        <w:spacing w:after="239" w:line="261" w:lineRule="auto"/>
        <w:ind w:left="48" w:right="29" w:hanging="5"/>
        <w:rPr>
          <w:rFonts w:ascii="Arial" w:hAnsi="Arial" w:cs="Arial"/>
          <w:sz w:val="24"/>
          <w:szCs w:val="24"/>
        </w:rPr>
      </w:pPr>
      <w:r w:rsidRPr="00D22114">
        <w:rPr>
          <w:rFonts w:ascii="Arial" w:hAnsi="Arial" w:cs="Arial"/>
          <w:sz w:val="24"/>
          <w:szCs w:val="24"/>
        </w:rPr>
        <w:t>In order to achieve equal pay, the SCTS is committed to ensuring that we</w:t>
      </w:r>
      <w:r w:rsidRPr="00D22114">
        <w:rPr>
          <w:rFonts w:ascii="Arial" w:hAnsi="Arial" w:cs="Arial"/>
          <w:noProof/>
          <w:sz w:val="24"/>
          <w:szCs w:val="24"/>
        </w:rPr>
        <w:drawing>
          <wp:inline distT="0" distB="0" distL="0" distR="0">
            <wp:extent cx="24384" cy="85368"/>
            <wp:effectExtent l="0" t="0" r="0" b="0"/>
            <wp:docPr id="22619" name="Picture 22619"/>
            <wp:cNvGraphicFramePr/>
            <a:graphic xmlns:a="http://schemas.openxmlformats.org/drawingml/2006/main">
              <a:graphicData uri="http://schemas.openxmlformats.org/drawingml/2006/picture">
                <pic:pic xmlns:pic="http://schemas.openxmlformats.org/drawingml/2006/picture">
                  <pic:nvPicPr>
                    <pic:cNvPr id="22619" name="Picture 22619"/>
                    <pic:cNvPicPr/>
                  </pic:nvPicPr>
                  <pic:blipFill>
                    <a:blip r:embed="rId11"/>
                    <a:stretch>
                      <a:fillRect/>
                    </a:stretch>
                  </pic:blipFill>
                  <pic:spPr>
                    <a:xfrm>
                      <a:off x="0" y="0"/>
                      <a:ext cx="24384" cy="85368"/>
                    </a:xfrm>
                    <a:prstGeom prst="rect">
                      <a:avLst/>
                    </a:prstGeom>
                  </pic:spPr>
                </pic:pic>
              </a:graphicData>
            </a:graphic>
          </wp:inline>
        </w:drawing>
      </w:r>
    </w:p>
    <w:p w:rsidR="00260DE6" w:rsidRDefault="005D2318">
      <w:pPr>
        <w:numPr>
          <w:ilvl w:val="0"/>
          <w:numId w:val="4"/>
        </w:numPr>
        <w:spacing w:after="180" w:line="261" w:lineRule="auto"/>
        <w:ind w:left="749" w:right="74" w:hanging="370"/>
        <w:rPr>
          <w:rFonts w:ascii="Arial" w:hAnsi="Arial" w:cs="Arial"/>
          <w:sz w:val="24"/>
          <w:szCs w:val="24"/>
        </w:rPr>
      </w:pPr>
      <w:r w:rsidRPr="00D22114">
        <w:rPr>
          <w:rFonts w:ascii="Arial" w:hAnsi="Arial" w:cs="Arial"/>
          <w:sz w:val="24"/>
          <w:szCs w:val="24"/>
        </w:rPr>
        <w:t>maintain the JEGS job evaluation system which provides a systematic role analysis scheme which incorporat</w:t>
      </w:r>
      <w:r w:rsidR="00260DE6">
        <w:rPr>
          <w:rFonts w:ascii="Arial" w:hAnsi="Arial" w:cs="Arial"/>
          <w:sz w:val="24"/>
          <w:szCs w:val="24"/>
        </w:rPr>
        <w:t>es the principles of equal pay</w:t>
      </w:r>
    </w:p>
    <w:p w:rsidR="00F4245F" w:rsidRPr="00D22114" w:rsidRDefault="005D2318">
      <w:pPr>
        <w:numPr>
          <w:ilvl w:val="0"/>
          <w:numId w:val="4"/>
        </w:numPr>
        <w:spacing w:after="180" w:line="261" w:lineRule="auto"/>
        <w:ind w:left="749" w:right="74" w:hanging="370"/>
        <w:rPr>
          <w:rFonts w:ascii="Arial" w:hAnsi="Arial" w:cs="Arial"/>
          <w:sz w:val="24"/>
          <w:szCs w:val="24"/>
        </w:rPr>
      </w:pPr>
      <w:r w:rsidRPr="00D22114">
        <w:rPr>
          <w:rFonts w:ascii="Arial" w:hAnsi="Arial" w:cs="Arial"/>
          <w:sz w:val="24"/>
          <w:szCs w:val="24"/>
        </w:rPr>
        <w:t>carry out regular monitoring of the impact of pay policies and practices and take appropriate remedial action to resolve issues identified</w:t>
      </w:r>
      <w:r w:rsidRPr="00D22114">
        <w:rPr>
          <w:rFonts w:ascii="Arial" w:hAnsi="Arial" w:cs="Arial"/>
          <w:noProof/>
          <w:sz w:val="24"/>
          <w:szCs w:val="24"/>
        </w:rPr>
        <w:drawing>
          <wp:inline distT="0" distB="0" distL="0" distR="0">
            <wp:extent cx="15240" cy="100612"/>
            <wp:effectExtent l="0" t="0" r="0" b="0"/>
            <wp:docPr id="22621" name="Picture 22621"/>
            <wp:cNvGraphicFramePr/>
            <a:graphic xmlns:a="http://schemas.openxmlformats.org/drawingml/2006/main">
              <a:graphicData uri="http://schemas.openxmlformats.org/drawingml/2006/picture">
                <pic:pic xmlns:pic="http://schemas.openxmlformats.org/drawingml/2006/picture">
                  <pic:nvPicPr>
                    <pic:cNvPr id="22621" name="Picture 22621"/>
                    <pic:cNvPicPr/>
                  </pic:nvPicPr>
                  <pic:blipFill>
                    <a:blip r:embed="rId12"/>
                    <a:stretch>
                      <a:fillRect/>
                    </a:stretch>
                  </pic:blipFill>
                  <pic:spPr>
                    <a:xfrm>
                      <a:off x="0" y="0"/>
                      <a:ext cx="15240" cy="100612"/>
                    </a:xfrm>
                    <a:prstGeom prst="rect">
                      <a:avLst/>
                    </a:prstGeom>
                  </pic:spPr>
                </pic:pic>
              </a:graphicData>
            </a:graphic>
          </wp:inline>
        </w:drawing>
      </w:r>
    </w:p>
    <w:p w:rsidR="00260DE6" w:rsidRDefault="005D2318" w:rsidP="007A441D">
      <w:pPr>
        <w:numPr>
          <w:ilvl w:val="0"/>
          <w:numId w:val="4"/>
        </w:numPr>
        <w:spacing w:after="0" w:line="228" w:lineRule="auto"/>
        <w:ind w:left="749" w:right="74" w:hanging="369"/>
        <w:rPr>
          <w:rFonts w:ascii="Arial" w:hAnsi="Arial" w:cs="Arial"/>
          <w:sz w:val="24"/>
          <w:szCs w:val="24"/>
        </w:rPr>
      </w:pPr>
      <w:r w:rsidRPr="00260DE6">
        <w:rPr>
          <w:rFonts w:ascii="Arial" w:hAnsi="Arial" w:cs="Arial"/>
          <w:sz w:val="24"/>
          <w:szCs w:val="24"/>
        </w:rPr>
        <w:t>provide guidance for managers involved in decisions about recruitment</w:t>
      </w:r>
      <w:r w:rsidR="00260DE6" w:rsidRPr="00260DE6">
        <w:rPr>
          <w:rFonts w:ascii="Arial" w:hAnsi="Arial" w:cs="Arial"/>
          <w:sz w:val="24"/>
          <w:szCs w:val="24"/>
        </w:rPr>
        <w:t>, pay, benefits and promotions</w:t>
      </w:r>
    </w:p>
    <w:p w:rsidR="00260DE6" w:rsidRDefault="00260DE6" w:rsidP="00260DE6">
      <w:pPr>
        <w:spacing w:after="0" w:line="228" w:lineRule="auto"/>
        <w:ind w:left="749" w:right="74"/>
        <w:rPr>
          <w:rFonts w:ascii="Arial" w:hAnsi="Arial" w:cs="Arial"/>
          <w:sz w:val="24"/>
          <w:szCs w:val="24"/>
        </w:rPr>
      </w:pPr>
    </w:p>
    <w:p w:rsidR="009E4B52" w:rsidRDefault="005D2318" w:rsidP="00E5562A">
      <w:pPr>
        <w:numPr>
          <w:ilvl w:val="0"/>
          <w:numId w:val="4"/>
        </w:numPr>
        <w:spacing w:after="0" w:line="228" w:lineRule="auto"/>
        <w:ind w:left="749" w:right="57" w:hanging="369"/>
        <w:rPr>
          <w:rFonts w:ascii="Arial" w:hAnsi="Arial" w:cs="Arial"/>
          <w:sz w:val="24"/>
          <w:szCs w:val="24"/>
        </w:rPr>
      </w:pPr>
      <w:r w:rsidRPr="009E4B52">
        <w:rPr>
          <w:rFonts w:ascii="Arial" w:hAnsi="Arial" w:cs="Arial"/>
          <w:sz w:val="24"/>
          <w:szCs w:val="24"/>
        </w:rPr>
        <w:t>work in partnership with trade union representatives to ensur</w:t>
      </w:r>
      <w:r w:rsidR="009E4B52" w:rsidRPr="009E4B52">
        <w:rPr>
          <w:rFonts w:ascii="Arial" w:hAnsi="Arial" w:cs="Arial"/>
          <w:sz w:val="24"/>
          <w:szCs w:val="24"/>
        </w:rPr>
        <w:t>e equality in pay and benefits</w:t>
      </w:r>
    </w:p>
    <w:p w:rsidR="009E4B52" w:rsidRPr="009E4B52" w:rsidRDefault="009E4B52" w:rsidP="009E4B52">
      <w:pPr>
        <w:spacing w:after="0" w:line="228" w:lineRule="auto"/>
        <w:ind w:right="57"/>
        <w:rPr>
          <w:rFonts w:ascii="Arial" w:hAnsi="Arial" w:cs="Arial"/>
          <w:sz w:val="24"/>
          <w:szCs w:val="24"/>
        </w:rPr>
      </w:pPr>
    </w:p>
    <w:p w:rsidR="009E4B52" w:rsidRDefault="009E4B52" w:rsidP="00D439CD">
      <w:pPr>
        <w:numPr>
          <w:ilvl w:val="0"/>
          <w:numId w:val="4"/>
        </w:numPr>
        <w:spacing w:after="0" w:line="228" w:lineRule="auto"/>
        <w:ind w:left="749" w:right="57" w:hanging="369"/>
        <w:rPr>
          <w:rFonts w:ascii="Arial" w:hAnsi="Arial" w:cs="Arial"/>
          <w:sz w:val="24"/>
          <w:szCs w:val="24"/>
        </w:rPr>
      </w:pPr>
      <w:r w:rsidRPr="009E4B52">
        <w:rPr>
          <w:rFonts w:ascii="Arial" w:hAnsi="Arial" w:cs="Arial"/>
          <w:sz w:val="24"/>
          <w:szCs w:val="24"/>
        </w:rPr>
        <w:t>investigate</w:t>
      </w:r>
      <w:r w:rsidR="005D2318" w:rsidRPr="009E4B52">
        <w:rPr>
          <w:rFonts w:ascii="Arial" w:hAnsi="Arial" w:cs="Arial"/>
          <w:sz w:val="24"/>
          <w:szCs w:val="24"/>
        </w:rPr>
        <w:t xml:space="preserve"> and respond promptly to any complaints in relation to equal pay.</w:t>
      </w:r>
    </w:p>
    <w:p w:rsidR="009E4B52" w:rsidRDefault="009E4B52" w:rsidP="009E4B52">
      <w:pPr>
        <w:pStyle w:val="ListParagraph"/>
        <w:rPr>
          <w:rFonts w:ascii="Arial" w:hAnsi="Arial" w:cs="Arial"/>
          <w:sz w:val="24"/>
          <w:szCs w:val="24"/>
        </w:rPr>
      </w:pPr>
    </w:p>
    <w:p w:rsidR="00155B28" w:rsidRDefault="00155B28" w:rsidP="009E4B52">
      <w:pPr>
        <w:pStyle w:val="ListParagraph"/>
        <w:rPr>
          <w:rFonts w:ascii="Arial" w:hAnsi="Arial" w:cs="Arial"/>
          <w:sz w:val="24"/>
          <w:szCs w:val="24"/>
        </w:rPr>
      </w:pPr>
    </w:p>
    <w:p w:rsidR="00155B28" w:rsidRDefault="00155B28" w:rsidP="009E4B52">
      <w:pPr>
        <w:pStyle w:val="ListParagraph"/>
        <w:rPr>
          <w:rFonts w:ascii="Arial" w:hAnsi="Arial" w:cs="Arial"/>
          <w:sz w:val="24"/>
          <w:szCs w:val="24"/>
        </w:rPr>
      </w:pPr>
    </w:p>
    <w:p w:rsidR="00155B28" w:rsidRDefault="00155B28" w:rsidP="009E4B52">
      <w:pPr>
        <w:pStyle w:val="ListParagraph"/>
        <w:rPr>
          <w:rFonts w:ascii="Arial" w:hAnsi="Arial" w:cs="Arial"/>
          <w:sz w:val="24"/>
          <w:szCs w:val="24"/>
        </w:rPr>
      </w:pPr>
    </w:p>
    <w:p w:rsidR="00155B28" w:rsidRDefault="00155B28" w:rsidP="009E4B52">
      <w:pPr>
        <w:pStyle w:val="ListParagraph"/>
        <w:rPr>
          <w:rFonts w:ascii="Arial" w:hAnsi="Arial" w:cs="Arial"/>
          <w:sz w:val="24"/>
          <w:szCs w:val="24"/>
        </w:rPr>
      </w:pPr>
    </w:p>
    <w:p w:rsidR="00155B28" w:rsidRDefault="00155B28" w:rsidP="009E4B52">
      <w:pPr>
        <w:pStyle w:val="ListParagraph"/>
        <w:rPr>
          <w:rFonts w:ascii="Arial" w:hAnsi="Arial" w:cs="Arial"/>
          <w:sz w:val="24"/>
          <w:szCs w:val="24"/>
        </w:rPr>
      </w:pPr>
    </w:p>
    <w:p w:rsidR="00155B28" w:rsidRDefault="00155B28" w:rsidP="009E4B52">
      <w:pPr>
        <w:pStyle w:val="ListParagraph"/>
        <w:rPr>
          <w:rFonts w:ascii="Arial" w:hAnsi="Arial" w:cs="Arial"/>
          <w:sz w:val="24"/>
          <w:szCs w:val="24"/>
        </w:rPr>
      </w:pPr>
    </w:p>
    <w:p w:rsidR="00F4245F" w:rsidRPr="00D22114" w:rsidRDefault="005D2318" w:rsidP="00D22114">
      <w:pPr>
        <w:pStyle w:val="ListParagraph"/>
        <w:numPr>
          <w:ilvl w:val="0"/>
          <w:numId w:val="5"/>
        </w:numPr>
        <w:spacing w:after="179" w:line="255" w:lineRule="auto"/>
        <w:ind w:right="143"/>
        <w:jc w:val="both"/>
        <w:rPr>
          <w:rFonts w:ascii="Arial" w:hAnsi="Arial" w:cs="Arial"/>
          <w:b/>
          <w:sz w:val="24"/>
          <w:szCs w:val="24"/>
        </w:rPr>
      </w:pPr>
      <w:r w:rsidRPr="00D22114">
        <w:rPr>
          <w:rFonts w:ascii="Arial" w:hAnsi="Arial" w:cs="Arial"/>
          <w:b/>
          <w:sz w:val="24"/>
          <w:szCs w:val="24"/>
        </w:rPr>
        <w:t>Declaration</w:t>
      </w:r>
    </w:p>
    <w:p w:rsidR="00F4245F" w:rsidRPr="00D22114" w:rsidRDefault="005D2318">
      <w:pPr>
        <w:spacing w:after="394" w:line="228" w:lineRule="auto"/>
        <w:ind w:left="48" w:right="298" w:firstLine="9"/>
        <w:jc w:val="both"/>
        <w:rPr>
          <w:rFonts w:ascii="Arial" w:hAnsi="Arial" w:cs="Arial"/>
          <w:sz w:val="24"/>
          <w:szCs w:val="24"/>
        </w:rPr>
      </w:pPr>
      <w:r w:rsidRPr="00D22114">
        <w:rPr>
          <w:rFonts w:ascii="Arial" w:hAnsi="Arial" w:cs="Arial"/>
          <w:sz w:val="24"/>
          <w:szCs w:val="24"/>
        </w:rPr>
        <w:t>l, Eric McQueen, Chief Executive, Scottish Courts and Tribunals Service, confirm that the information in this statement has been calculated according to the requirements of The Equality Act 2010 (Gender Pay Gap Information) Regulations 2017</w:t>
      </w:r>
      <w:r w:rsidR="003001BF">
        <w:rPr>
          <w:rFonts w:ascii="Arial" w:hAnsi="Arial" w:cs="Arial"/>
          <w:sz w:val="24"/>
          <w:szCs w:val="24"/>
        </w:rPr>
        <w:t xml:space="preserve"> </w:t>
      </w:r>
      <w:r w:rsidRPr="00D22114">
        <w:rPr>
          <w:rFonts w:ascii="Arial" w:hAnsi="Arial" w:cs="Arial"/>
          <w:sz w:val="24"/>
          <w:szCs w:val="24"/>
        </w:rPr>
        <w:t>and is accurate.</w:t>
      </w:r>
    </w:p>
    <w:p w:rsidR="00F4245F" w:rsidRPr="00D22114" w:rsidRDefault="005D2318">
      <w:pPr>
        <w:spacing w:after="3"/>
        <w:ind w:left="53" w:hanging="10"/>
        <w:rPr>
          <w:rFonts w:ascii="Arial" w:hAnsi="Arial" w:cs="Arial"/>
          <w:sz w:val="24"/>
          <w:szCs w:val="24"/>
        </w:rPr>
      </w:pPr>
      <w:r w:rsidRPr="00D22114">
        <w:rPr>
          <w:rFonts w:ascii="Arial" w:hAnsi="Arial" w:cs="Arial"/>
          <w:sz w:val="24"/>
          <w:szCs w:val="24"/>
        </w:rPr>
        <w:t>Signed</w:t>
      </w:r>
    </w:p>
    <w:p w:rsidR="00F4245F" w:rsidRPr="00D22114" w:rsidRDefault="005D2318">
      <w:pPr>
        <w:spacing w:after="557"/>
        <w:ind w:left="317"/>
        <w:rPr>
          <w:rFonts w:ascii="Arial" w:hAnsi="Arial" w:cs="Arial"/>
          <w:sz w:val="24"/>
          <w:szCs w:val="24"/>
        </w:rPr>
      </w:pPr>
      <w:r w:rsidRPr="00D22114">
        <w:rPr>
          <w:rFonts w:ascii="Arial" w:hAnsi="Arial" w:cs="Arial"/>
          <w:noProof/>
          <w:sz w:val="24"/>
          <w:szCs w:val="24"/>
        </w:rPr>
        <w:drawing>
          <wp:inline distT="0" distB="0" distL="0" distR="0">
            <wp:extent cx="1578864" cy="475624"/>
            <wp:effectExtent l="0" t="0" r="0" b="0"/>
            <wp:docPr id="12120" name="Picture 12120"/>
            <wp:cNvGraphicFramePr/>
            <a:graphic xmlns:a="http://schemas.openxmlformats.org/drawingml/2006/main">
              <a:graphicData uri="http://schemas.openxmlformats.org/drawingml/2006/picture">
                <pic:pic xmlns:pic="http://schemas.openxmlformats.org/drawingml/2006/picture">
                  <pic:nvPicPr>
                    <pic:cNvPr id="12120" name="Picture 12120"/>
                    <pic:cNvPicPr/>
                  </pic:nvPicPr>
                  <pic:blipFill>
                    <a:blip r:embed="rId13"/>
                    <a:stretch>
                      <a:fillRect/>
                    </a:stretch>
                  </pic:blipFill>
                  <pic:spPr>
                    <a:xfrm>
                      <a:off x="0" y="0"/>
                      <a:ext cx="1578864" cy="475624"/>
                    </a:xfrm>
                    <a:prstGeom prst="rect">
                      <a:avLst/>
                    </a:prstGeom>
                  </pic:spPr>
                </pic:pic>
              </a:graphicData>
            </a:graphic>
          </wp:inline>
        </w:drawing>
      </w:r>
    </w:p>
    <w:p w:rsidR="00F4245F" w:rsidRPr="00155B28" w:rsidRDefault="00155B28">
      <w:pPr>
        <w:spacing w:after="3"/>
        <w:ind w:left="53" w:hanging="10"/>
        <w:rPr>
          <w:rFonts w:ascii="Arial" w:hAnsi="Arial" w:cs="Arial"/>
          <w:color w:val="auto"/>
          <w:sz w:val="24"/>
          <w:szCs w:val="24"/>
        </w:rPr>
      </w:pPr>
      <w:r w:rsidRPr="00155B28">
        <w:rPr>
          <w:rFonts w:ascii="Arial" w:hAnsi="Arial" w:cs="Arial"/>
          <w:color w:val="auto"/>
          <w:sz w:val="24"/>
          <w:szCs w:val="24"/>
        </w:rPr>
        <w:t>24 March 2020</w:t>
      </w:r>
    </w:p>
    <w:p w:rsidR="00E329E6" w:rsidRPr="00D22114" w:rsidRDefault="00E329E6">
      <w:pPr>
        <w:spacing w:after="3"/>
        <w:ind w:left="53" w:hanging="10"/>
        <w:rPr>
          <w:rFonts w:ascii="Arial" w:hAnsi="Arial" w:cs="Arial"/>
          <w:sz w:val="24"/>
          <w:szCs w:val="24"/>
        </w:rPr>
      </w:pPr>
    </w:p>
    <w:sectPr w:rsidR="00E329E6" w:rsidRPr="00D22114" w:rsidSect="00330D70">
      <w:footerReference w:type="even" r:id="rId14"/>
      <w:footerReference w:type="default" r:id="rId15"/>
      <w:footerReference w:type="first" r:id="rId16"/>
      <w:pgSz w:w="11907" w:h="16840"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1F4" w:rsidRDefault="005D2318">
      <w:pPr>
        <w:spacing w:after="0" w:line="240" w:lineRule="auto"/>
      </w:pPr>
      <w:r>
        <w:separator/>
      </w:r>
    </w:p>
  </w:endnote>
  <w:endnote w:type="continuationSeparator" w:id="0">
    <w:p w:rsidR="002521F4" w:rsidRDefault="005D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45F" w:rsidRDefault="005D2318">
    <w:pPr>
      <w:spacing w:after="0"/>
      <w:ind w:left="24"/>
      <w:jc w:val="center"/>
    </w:pP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45F" w:rsidRPr="00D22114" w:rsidRDefault="005D2318">
    <w:pPr>
      <w:spacing w:after="0"/>
      <w:ind w:left="24"/>
      <w:jc w:val="center"/>
      <w:rPr>
        <w:sz w:val="20"/>
      </w:rPr>
    </w:pPr>
    <w:r w:rsidRPr="00D22114">
      <w:rPr>
        <w:sz w:val="20"/>
      </w:rPr>
      <w:fldChar w:fldCharType="begin"/>
    </w:r>
    <w:r w:rsidRPr="00D22114">
      <w:rPr>
        <w:sz w:val="20"/>
      </w:rPr>
      <w:instrText xml:space="preserve"> PAGE   \* MERGEFORMAT </w:instrText>
    </w:r>
    <w:r w:rsidRPr="00D22114">
      <w:rPr>
        <w:sz w:val="20"/>
      </w:rPr>
      <w:fldChar w:fldCharType="separate"/>
    </w:r>
    <w:r w:rsidR="005A0618" w:rsidRPr="005A0618">
      <w:rPr>
        <w:rFonts w:ascii="Times New Roman" w:eastAsia="Times New Roman" w:hAnsi="Times New Roman" w:cs="Times New Roman"/>
        <w:noProof/>
        <w:sz w:val="20"/>
      </w:rPr>
      <w:t>6</w:t>
    </w:r>
    <w:r w:rsidRPr="00D22114">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45F" w:rsidRDefault="005D2318">
    <w:pPr>
      <w:spacing w:after="0"/>
      <w:ind w:left="24"/>
      <w:jc w:val="center"/>
    </w:pPr>
    <w:r>
      <w:fldChar w:fldCharType="begin"/>
    </w:r>
    <w:r>
      <w:instrText xml:space="preserve"> PAGE   \* MERGEFORMAT </w:instrText>
    </w:r>
    <w: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1F4" w:rsidRDefault="005D2318">
      <w:pPr>
        <w:spacing w:after="0" w:line="240" w:lineRule="auto"/>
      </w:pPr>
      <w:r>
        <w:separator/>
      </w:r>
    </w:p>
  </w:footnote>
  <w:footnote w:type="continuationSeparator" w:id="0">
    <w:p w:rsidR="002521F4" w:rsidRDefault="005D2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3812" o:spid="_x0000_i1026" style="width:5pt;height:5pt" coordsize="" o:spt="100" o:bullet="t" adj="0,,0" path="" stroked="f">
        <v:stroke joinstyle="miter"/>
        <v:imagedata r:id="rId1" o:title="image18"/>
        <v:formulas/>
        <v:path o:connecttype="segments"/>
      </v:shape>
    </w:pict>
  </w:numPicBullet>
  <w:numPicBullet w:numPicBulletId="1">
    <w:pict>
      <v:shape id="11108" o:spid="_x0000_i1027" style="width:7.5pt;height:8.15pt" coordsize="" o:spt="100" o:bullet="t" adj="0,,0" path="" stroked="f">
        <v:stroke joinstyle="miter"/>
        <v:imagedata r:id="rId2" o:title="image19"/>
        <v:formulas/>
        <v:path o:connecttype="segments"/>
      </v:shape>
    </w:pict>
  </w:numPicBullet>
  <w:abstractNum w:abstractNumId="0" w15:restartNumberingAfterBreak="0">
    <w:nsid w:val="129F1083"/>
    <w:multiLevelType w:val="hybridMultilevel"/>
    <w:tmpl w:val="42FC3B76"/>
    <w:lvl w:ilvl="0" w:tplc="84A2ADE0">
      <w:start w:val="4"/>
      <w:numFmt w:val="decimal"/>
      <w:lvlText w:val="%1."/>
      <w:lvlJc w:val="left"/>
      <w:pPr>
        <w:ind w:left="7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B5AA982">
      <w:start w:val="1"/>
      <w:numFmt w:val="lowerLetter"/>
      <w:lvlText w:val="%2"/>
      <w:lvlJc w:val="left"/>
      <w:pPr>
        <w:ind w:left="12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A6C926A">
      <w:start w:val="1"/>
      <w:numFmt w:val="lowerRoman"/>
      <w:lvlText w:val="%3"/>
      <w:lvlJc w:val="left"/>
      <w:pPr>
        <w:ind w:left="20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E564686">
      <w:start w:val="1"/>
      <w:numFmt w:val="decimal"/>
      <w:lvlText w:val="%4"/>
      <w:lvlJc w:val="left"/>
      <w:pPr>
        <w:ind w:left="27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940369E">
      <w:start w:val="1"/>
      <w:numFmt w:val="lowerLetter"/>
      <w:lvlText w:val="%5"/>
      <w:lvlJc w:val="left"/>
      <w:pPr>
        <w:ind w:left="34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54235C">
      <w:start w:val="1"/>
      <w:numFmt w:val="lowerRoman"/>
      <w:lvlText w:val="%6"/>
      <w:lvlJc w:val="left"/>
      <w:pPr>
        <w:ind w:left="41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6D88FD4">
      <w:start w:val="1"/>
      <w:numFmt w:val="decimal"/>
      <w:lvlText w:val="%7"/>
      <w:lvlJc w:val="left"/>
      <w:pPr>
        <w:ind w:left="48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12A82F4">
      <w:start w:val="1"/>
      <w:numFmt w:val="lowerLetter"/>
      <w:lvlText w:val="%8"/>
      <w:lvlJc w:val="left"/>
      <w:pPr>
        <w:ind w:left="56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F0C9720">
      <w:start w:val="1"/>
      <w:numFmt w:val="lowerRoman"/>
      <w:lvlText w:val="%9"/>
      <w:lvlJc w:val="left"/>
      <w:pPr>
        <w:ind w:left="6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6F02A01"/>
    <w:multiLevelType w:val="hybridMultilevel"/>
    <w:tmpl w:val="304654A8"/>
    <w:lvl w:ilvl="0" w:tplc="288A8F5C">
      <w:start w:val="1"/>
      <w:numFmt w:val="bullet"/>
      <w:lvlText w:val="•"/>
      <w:lvlPicBulletId w:val="1"/>
      <w:lvlJc w:val="left"/>
      <w:pPr>
        <w:ind w:left="7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57A80F0">
      <w:start w:val="1"/>
      <w:numFmt w:val="bullet"/>
      <w:lvlText w:val="o"/>
      <w:lvlJc w:val="left"/>
      <w:pPr>
        <w:ind w:left="17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F50C384">
      <w:start w:val="1"/>
      <w:numFmt w:val="bullet"/>
      <w:lvlText w:val="▪"/>
      <w:lvlJc w:val="left"/>
      <w:pPr>
        <w:ind w:left="24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8F4940C">
      <w:start w:val="1"/>
      <w:numFmt w:val="bullet"/>
      <w:lvlText w:val="•"/>
      <w:lvlJc w:val="left"/>
      <w:pPr>
        <w:ind w:left="32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3D058AA">
      <w:start w:val="1"/>
      <w:numFmt w:val="bullet"/>
      <w:lvlText w:val="o"/>
      <w:lvlJc w:val="left"/>
      <w:pPr>
        <w:ind w:left="39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854BB1E">
      <w:start w:val="1"/>
      <w:numFmt w:val="bullet"/>
      <w:lvlText w:val="▪"/>
      <w:lvlJc w:val="left"/>
      <w:pPr>
        <w:ind w:left="46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0A002B6">
      <w:start w:val="1"/>
      <w:numFmt w:val="bullet"/>
      <w:lvlText w:val="•"/>
      <w:lvlJc w:val="left"/>
      <w:pPr>
        <w:ind w:left="53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B1C2EEA">
      <w:start w:val="1"/>
      <w:numFmt w:val="bullet"/>
      <w:lvlText w:val="o"/>
      <w:lvlJc w:val="left"/>
      <w:pPr>
        <w:ind w:left="60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06028BE">
      <w:start w:val="1"/>
      <w:numFmt w:val="bullet"/>
      <w:lvlText w:val="▪"/>
      <w:lvlJc w:val="left"/>
      <w:pPr>
        <w:ind w:left="68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2382F7F"/>
    <w:multiLevelType w:val="hybridMultilevel"/>
    <w:tmpl w:val="893EA004"/>
    <w:lvl w:ilvl="0" w:tplc="34BC5CB4">
      <w:start w:val="1"/>
      <w:numFmt w:val="bullet"/>
      <w:lvlText w:val="•"/>
      <w:lvlJc w:val="left"/>
      <w:pPr>
        <w:ind w:left="145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EBD8809E">
      <w:start w:val="1"/>
      <w:numFmt w:val="bullet"/>
      <w:lvlText w:val="o"/>
      <w:lvlJc w:val="left"/>
      <w:pPr>
        <w:ind w:left="223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AC9C7A42">
      <w:start w:val="1"/>
      <w:numFmt w:val="bullet"/>
      <w:lvlText w:val="▪"/>
      <w:lvlJc w:val="left"/>
      <w:pPr>
        <w:ind w:left="295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D910D0F8">
      <w:start w:val="1"/>
      <w:numFmt w:val="bullet"/>
      <w:lvlText w:val="•"/>
      <w:lvlJc w:val="left"/>
      <w:pPr>
        <w:ind w:left="367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686ED3DE">
      <w:start w:val="1"/>
      <w:numFmt w:val="bullet"/>
      <w:lvlText w:val="o"/>
      <w:lvlJc w:val="left"/>
      <w:pPr>
        <w:ind w:left="439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705CE1A2">
      <w:start w:val="1"/>
      <w:numFmt w:val="bullet"/>
      <w:lvlText w:val="▪"/>
      <w:lvlJc w:val="left"/>
      <w:pPr>
        <w:ind w:left="511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C1CADD62">
      <w:start w:val="1"/>
      <w:numFmt w:val="bullet"/>
      <w:lvlText w:val="•"/>
      <w:lvlJc w:val="left"/>
      <w:pPr>
        <w:ind w:left="583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896C9EE4">
      <w:start w:val="1"/>
      <w:numFmt w:val="bullet"/>
      <w:lvlText w:val="o"/>
      <w:lvlJc w:val="left"/>
      <w:pPr>
        <w:ind w:left="655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08D096E2">
      <w:start w:val="1"/>
      <w:numFmt w:val="bullet"/>
      <w:lvlText w:val="▪"/>
      <w:lvlJc w:val="left"/>
      <w:pPr>
        <w:ind w:left="727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3" w15:restartNumberingAfterBreak="0">
    <w:nsid w:val="70855C70"/>
    <w:multiLevelType w:val="hybridMultilevel"/>
    <w:tmpl w:val="AA8A03FE"/>
    <w:lvl w:ilvl="0" w:tplc="CA72F2F8">
      <w:start w:val="1"/>
      <w:numFmt w:val="decimal"/>
      <w:lvlText w:val="%1."/>
      <w:lvlJc w:val="left"/>
      <w:pPr>
        <w:ind w:left="567" w:hanging="567"/>
      </w:pPr>
      <w:rPr>
        <w:rFonts w:hint="default"/>
      </w:rPr>
    </w:lvl>
    <w:lvl w:ilvl="1" w:tplc="08090019" w:tentative="1">
      <w:start w:val="1"/>
      <w:numFmt w:val="lowerLetter"/>
      <w:lvlText w:val="%2."/>
      <w:lvlJc w:val="left"/>
      <w:pPr>
        <w:ind w:left="1118" w:hanging="360"/>
      </w:pPr>
    </w:lvl>
    <w:lvl w:ilvl="2" w:tplc="0809001B" w:tentative="1">
      <w:start w:val="1"/>
      <w:numFmt w:val="lowerRoman"/>
      <w:lvlText w:val="%3."/>
      <w:lvlJc w:val="right"/>
      <w:pPr>
        <w:ind w:left="1838" w:hanging="180"/>
      </w:pPr>
    </w:lvl>
    <w:lvl w:ilvl="3" w:tplc="0809000F" w:tentative="1">
      <w:start w:val="1"/>
      <w:numFmt w:val="decimal"/>
      <w:lvlText w:val="%4."/>
      <w:lvlJc w:val="left"/>
      <w:pPr>
        <w:ind w:left="2558" w:hanging="360"/>
      </w:pPr>
    </w:lvl>
    <w:lvl w:ilvl="4" w:tplc="08090019" w:tentative="1">
      <w:start w:val="1"/>
      <w:numFmt w:val="lowerLetter"/>
      <w:lvlText w:val="%5."/>
      <w:lvlJc w:val="left"/>
      <w:pPr>
        <w:ind w:left="3278" w:hanging="360"/>
      </w:pPr>
    </w:lvl>
    <w:lvl w:ilvl="5" w:tplc="0809001B" w:tentative="1">
      <w:start w:val="1"/>
      <w:numFmt w:val="lowerRoman"/>
      <w:lvlText w:val="%6."/>
      <w:lvlJc w:val="right"/>
      <w:pPr>
        <w:ind w:left="3998" w:hanging="180"/>
      </w:pPr>
    </w:lvl>
    <w:lvl w:ilvl="6" w:tplc="0809000F" w:tentative="1">
      <w:start w:val="1"/>
      <w:numFmt w:val="decimal"/>
      <w:lvlText w:val="%7."/>
      <w:lvlJc w:val="left"/>
      <w:pPr>
        <w:ind w:left="4718" w:hanging="360"/>
      </w:pPr>
    </w:lvl>
    <w:lvl w:ilvl="7" w:tplc="08090019" w:tentative="1">
      <w:start w:val="1"/>
      <w:numFmt w:val="lowerLetter"/>
      <w:lvlText w:val="%8."/>
      <w:lvlJc w:val="left"/>
      <w:pPr>
        <w:ind w:left="5438" w:hanging="360"/>
      </w:pPr>
    </w:lvl>
    <w:lvl w:ilvl="8" w:tplc="0809001B" w:tentative="1">
      <w:start w:val="1"/>
      <w:numFmt w:val="lowerRoman"/>
      <w:lvlText w:val="%9."/>
      <w:lvlJc w:val="right"/>
      <w:pPr>
        <w:ind w:left="6158" w:hanging="180"/>
      </w:pPr>
    </w:lvl>
  </w:abstractNum>
  <w:abstractNum w:abstractNumId="4" w15:restartNumberingAfterBreak="0">
    <w:nsid w:val="76724B43"/>
    <w:multiLevelType w:val="hybridMultilevel"/>
    <w:tmpl w:val="0DBE7538"/>
    <w:lvl w:ilvl="0" w:tplc="64E88D10">
      <w:start w:val="2"/>
      <w:numFmt w:val="decimal"/>
      <w:lvlText w:val="%1."/>
      <w:lvlJc w:val="left"/>
      <w:pPr>
        <w:ind w:left="5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1C22900">
      <w:start w:val="1"/>
      <w:numFmt w:val="bullet"/>
      <w:lvlText w:val="•"/>
      <w:lvlPicBulletId w:val="0"/>
      <w:lvlJc w:val="left"/>
      <w:pPr>
        <w:ind w:left="8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A129A56">
      <w:start w:val="1"/>
      <w:numFmt w:val="bullet"/>
      <w:lvlText w:val="▪"/>
      <w:lvlJc w:val="left"/>
      <w:pPr>
        <w:ind w:left="18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8FCD08C">
      <w:start w:val="1"/>
      <w:numFmt w:val="bullet"/>
      <w:lvlText w:val="•"/>
      <w:lvlJc w:val="left"/>
      <w:pPr>
        <w:ind w:left="25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A24D556">
      <w:start w:val="1"/>
      <w:numFmt w:val="bullet"/>
      <w:lvlText w:val="o"/>
      <w:lvlJc w:val="left"/>
      <w:pPr>
        <w:ind w:left="33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0F22CBA">
      <w:start w:val="1"/>
      <w:numFmt w:val="bullet"/>
      <w:lvlText w:val="▪"/>
      <w:lvlJc w:val="left"/>
      <w:pPr>
        <w:ind w:left="40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1EC33E2">
      <w:start w:val="1"/>
      <w:numFmt w:val="bullet"/>
      <w:lvlText w:val="•"/>
      <w:lvlJc w:val="left"/>
      <w:pPr>
        <w:ind w:left="47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EA274D8">
      <w:start w:val="1"/>
      <w:numFmt w:val="bullet"/>
      <w:lvlText w:val="o"/>
      <w:lvlJc w:val="left"/>
      <w:pPr>
        <w:ind w:left="54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83269D2">
      <w:start w:val="1"/>
      <w:numFmt w:val="bullet"/>
      <w:lvlText w:val="▪"/>
      <w:lvlJc w:val="left"/>
      <w:pPr>
        <w:ind w:left="61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5F"/>
    <w:rsid w:val="0009577B"/>
    <w:rsid w:val="000C529E"/>
    <w:rsid w:val="00155B28"/>
    <w:rsid w:val="001745A9"/>
    <w:rsid w:val="001E74D5"/>
    <w:rsid w:val="002521F4"/>
    <w:rsid w:val="00260DE6"/>
    <w:rsid w:val="0027722D"/>
    <w:rsid w:val="002E392E"/>
    <w:rsid w:val="003001BF"/>
    <w:rsid w:val="00302ECA"/>
    <w:rsid w:val="00323DFC"/>
    <w:rsid w:val="00330D70"/>
    <w:rsid w:val="003513A3"/>
    <w:rsid w:val="005029BD"/>
    <w:rsid w:val="0055782D"/>
    <w:rsid w:val="00561761"/>
    <w:rsid w:val="0059013E"/>
    <w:rsid w:val="005A0618"/>
    <w:rsid w:val="005D2318"/>
    <w:rsid w:val="00664E82"/>
    <w:rsid w:val="00666572"/>
    <w:rsid w:val="00752365"/>
    <w:rsid w:val="007962DF"/>
    <w:rsid w:val="00816A8C"/>
    <w:rsid w:val="00854C8E"/>
    <w:rsid w:val="00856A12"/>
    <w:rsid w:val="00877DFC"/>
    <w:rsid w:val="008F53FA"/>
    <w:rsid w:val="009059A2"/>
    <w:rsid w:val="0096222B"/>
    <w:rsid w:val="009E2C25"/>
    <w:rsid w:val="009E4B52"/>
    <w:rsid w:val="00A63800"/>
    <w:rsid w:val="00A92D02"/>
    <w:rsid w:val="00AA304A"/>
    <w:rsid w:val="00AA5229"/>
    <w:rsid w:val="00B80145"/>
    <w:rsid w:val="00BB2B56"/>
    <w:rsid w:val="00C112F2"/>
    <w:rsid w:val="00D01376"/>
    <w:rsid w:val="00D22114"/>
    <w:rsid w:val="00E27463"/>
    <w:rsid w:val="00E329E6"/>
    <w:rsid w:val="00E4137D"/>
    <w:rsid w:val="00E90C21"/>
    <w:rsid w:val="00EF448D"/>
    <w:rsid w:val="00F02129"/>
    <w:rsid w:val="00F35BFA"/>
    <w:rsid w:val="00F4245F"/>
    <w:rsid w:val="00F53751"/>
    <w:rsid w:val="00FC3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4AFAA4"/>
  <w15:docId w15:val="{BDE6AA7E-9C72-466C-A9E3-F95FFB82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C2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22114"/>
    <w:pPr>
      <w:ind w:left="720"/>
      <w:contextualSpacing/>
    </w:pPr>
  </w:style>
  <w:style w:type="paragraph" w:styleId="Header">
    <w:name w:val="header"/>
    <w:basedOn w:val="Normal"/>
    <w:link w:val="HeaderChar"/>
    <w:uiPriority w:val="99"/>
    <w:unhideWhenUsed/>
    <w:rsid w:val="00D22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114"/>
    <w:rPr>
      <w:rFonts w:ascii="Calibri" w:eastAsia="Calibri" w:hAnsi="Calibri" w:cs="Calibri"/>
      <w:color w:val="000000"/>
    </w:rPr>
  </w:style>
  <w:style w:type="paragraph" w:customStyle="1" w:styleId="CharCharChar">
    <w:name w:val="Char Char Char"/>
    <w:basedOn w:val="Normal"/>
    <w:rsid w:val="005029BD"/>
    <w:pPr>
      <w:spacing w:line="240" w:lineRule="exact"/>
    </w:pPr>
    <w:rPr>
      <w:rFonts w:ascii="Tahoma" w:eastAsia="Times New Roman" w:hAnsi="Tahoma" w:cs="Times New Roman"/>
      <w:color w:val="auto"/>
      <w:sz w:val="20"/>
      <w:szCs w:val="20"/>
      <w:lang w:val="en-US" w:eastAsia="en-US"/>
    </w:rPr>
  </w:style>
  <w:style w:type="paragraph" w:styleId="BalloonText">
    <w:name w:val="Balloon Text"/>
    <w:basedOn w:val="Normal"/>
    <w:link w:val="BalloonTextChar"/>
    <w:uiPriority w:val="99"/>
    <w:semiHidden/>
    <w:unhideWhenUsed/>
    <w:rsid w:val="00877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DF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176747">
      <w:bodyDiv w:val="1"/>
      <w:marLeft w:val="0"/>
      <w:marRight w:val="0"/>
      <w:marTop w:val="0"/>
      <w:marBottom w:val="0"/>
      <w:divBdr>
        <w:top w:val="none" w:sz="0" w:space="0" w:color="auto"/>
        <w:left w:val="none" w:sz="0" w:space="0" w:color="auto"/>
        <w:bottom w:val="none" w:sz="0" w:space="0" w:color="auto"/>
        <w:right w:val="none" w:sz="0" w:space="0" w:color="auto"/>
      </w:divBdr>
    </w:div>
    <w:div w:id="1692729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jpurbrick.SCS\AppData\Local\Microsoft\Windows\Temporary%20Internet%20Files\Content.Outlook\589M4HEZ\GenderPayGap%20with%20calcs%20and%20charts%20-%20Mar2019%20v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purbrick.SCS\AppData\Local\Microsoft\Windows\Temporary%20Internet%20Files\Content.Outlook\589M4HEZ\GenderPayGap%20with%20calcs%20and%20charts%20-%20Mar2019%20v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doughnutChart>
        <c:varyColors val="1"/>
        <c:ser>
          <c:idx val="0"/>
          <c:order val="0"/>
          <c:spPr>
            <a:ln w="12700">
              <a:solidFill>
                <a:schemeClr val="accent1">
                  <a:alpha val="85000"/>
                </a:schemeClr>
              </a:solidFill>
            </a:ln>
          </c:spPr>
          <c:dLbls>
            <c:dLbl>
              <c:idx val="0"/>
              <c:spPr/>
              <c:txPr>
                <a:bodyPr/>
                <a:lstStyle/>
                <a:p>
                  <a:pPr>
                    <a:defRPr sz="1400" b="1"/>
                  </a:pPr>
                  <a:endParaRPr lang="en-US"/>
                </a:p>
              </c:txPr>
              <c:showLegendKey val="0"/>
              <c:showVal val="1"/>
              <c:showCatName val="0"/>
              <c:showSerName val="0"/>
              <c:showPercent val="0"/>
              <c:showBubbleSize val="0"/>
              <c:extLst>
                <c:ext xmlns:c16="http://schemas.microsoft.com/office/drawing/2014/chart" uri="{C3380CC4-5D6E-409C-BE32-E72D297353CC}">
                  <c16:uniqueId val="{00000000-781D-4CF6-BBF7-F68A83BB0032}"/>
                </c:ext>
              </c:extLst>
            </c:dLbl>
            <c:dLbl>
              <c:idx val="1"/>
              <c:spPr/>
              <c:txPr>
                <a:bodyPr/>
                <a:lstStyle/>
                <a:p>
                  <a:pPr>
                    <a:defRPr sz="1400" b="1"/>
                  </a:pPr>
                  <a:endParaRPr lang="en-US"/>
                </a:p>
              </c:txPr>
              <c:showLegendKey val="0"/>
              <c:showVal val="1"/>
              <c:showCatName val="0"/>
              <c:showSerName val="0"/>
              <c:showPercent val="0"/>
              <c:showBubbleSize val="0"/>
              <c:extLst>
                <c:ext xmlns:c16="http://schemas.microsoft.com/office/drawing/2014/chart" uri="{C3380CC4-5D6E-409C-BE32-E72D297353CC}">
                  <c16:uniqueId val="{00000001-781D-4CF6-BBF7-F68A83BB0032}"/>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cat>
            <c:strRef>
              <c:f>'Summary Charts'!$B$6:$B$7</c:f>
              <c:strCache>
                <c:ptCount val="2"/>
                <c:pt idx="0">
                  <c:v>Male</c:v>
                </c:pt>
                <c:pt idx="1">
                  <c:v>Female</c:v>
                </c:pt>
              </c:strCache>
            </c:strRef>
          </c:cat>
          <c:val>
            <c:numRef>
              <c:f>'Summary Charts'!$C$6:$C$7</c:f>
              <c:numCache>
                <c:formatCode>General</c:formatCode>
                <c:ptCount val="2"/>
                <c:pt idx="0">
                  <c:v>605</c:v>
                </c:pt>
                <c:pt idx="1">
                  <c:v>1182</c:v>
                </c:pt>
              </c:numCache>
            </c:numRef>
          </c:val>
          <c:extLst>
            <c:ext xmlns:c16="http://schemas.microsoft.com/office/drawing/2014/chart" uri="{C3380CC4-5D6E-409C-BE32-E72D297353CC}">
              <c16:uniqueId val="{00000002-26E2-4791-9D51-4DF5FF08D091}"/>
            </c:ext>
          </c:extLst>
        </c:ser>
        <c:ser>
          <c:idx val="1"/>
          <c:order val="1"/>
          <c:spPr>
            <a:ln w="12700">
              <a:solidFill>
                <a:schemeClr val="accent1">
                  <a:alpha val="85000"/>
                </a:schemeClr>
              </a:solidFill>
            </a:ln>
          </c:spPr>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6E2-4791-9D51-4DF5FF08D091}"/>
                </c:ext>
              </c:extLst>
            </c:dLbl>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6E2-4791-9D51-4DF5FF08D091}"/>
                </c:ext>
              </c:extLst>
            </c:dLbl>
            <c:spPr>
              <a:noFill/>
              <a:ln>
                <a:noFill/>
              </a:ln>
              <a:effectLst/>
            </c:spPr>
            <c:txPr>
              <a:bodyPr/>
              <a:lstStyle/>
              <a:p>
                <a:pPr>
                  <a:defRPr sz="1400" b="1"/>
                </a:pPr>
                <a:endParaRPr lang="en-US"/>
              </a:p>
            </c:txPr>
            <c:showLegendKey val="0"/>
            <c:showVal val="0"/>
            <c:showCatName val="0"/>
            <c:showSerName val="0"/>
            <c:showPercent val="0"/>
            <c:showBubbleSize val="0"/>
            <c:extLst>
              <c:ext xmlns:c15="http://schemas.microsoft.com/office/drawing/2012/chart" uri="{CE6537A1-D6FC-4f65-9D91-7224C49458BB}"/>
            </c:extLst>
          </c:dLbls>
          <c:cat>
            <c:strRef>
              <c:f>'Summary Charts'!$B$6:$B$7</c:f>
              <c:strCache>
                <c:ptCount val="2"/>
                <c:pt idx="0">
                  <c:v>Male</c:v>
                </c:pt>
                <c:pt idx="1">
                  <c:v>Female</c:v>
                </c:pt>
              </c:strCache>
            </c:strRef>
          </c:cat>
          <c:val>
            <c:numRef>
              <c:f>'Summary Charts'!$D$6:$D$7</c:f>
              <c:numCache>
                <c:formatCode>0%</c:formatCode>
                <c:ptCount val="2"/>
                <c:pt idx="0">
                  <c:v>0.34</c:v>
                </c:pt>
                <c:pt idx="1">
                  <c:v>0.66</c:v>
                </c:pt>
              </c:numCache>
            </c:numRef>
          </c:val>
          <c:extLst>
            <c:ext xmlns:c16="http://schemas.microsoft.com/office/drawing/2014/chart" uri="{C3380CC4-5D6E-409C-BE32-E72D297353CC}">
              <c16:uniqueId val="{00000005-26E2-4791-9D51-4DF5FF08D091}"/>
            </c:ext>
          </c:extLst>
        </c:ser>
        <c:dLbls>
          <c:showLegendKey val="0"/>
          <c:showVal val="0"/>
          <c:showCatName val="0"/>
          <c:showSerName val="0"/>
          <c:showPercent val="0"/>
          <c:showBubbleSize val="0"/>
          <c:showLeaderLines val="0"/>
        </c:dLbls>
        <c:firstSliceAng val="0"/>
        <c:holeSize val="35"/>
      </c:doughnutChart>
    </c:plotArea>
    <c:legend>
      <c:legendPos val="r"/>
      <c:layout>
        <c:manualLayout>
          <c:xMode val="edge"/>
          <c:yMode val="edge"/>
          <c:x val="0.79554265091863507"/>
          <c:y val="9.6765885033601576E-2"/>
          <c:w val="0.17458661417322835"/>
          <c:h val="0.16790458884947074"/>
        </c:manualLayout>
      </c:layout>
      <c:overlay val="0"/>
      <c:txPr>
        <a:bodyPr/>
        <a:lstStyle/>
        <a:p>
          <a:pPr>
            <a:defRPr sz="14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100"/>
            </a:pPr>
            <a:r>
              <a:rPr lang="en-GB" sz="1100"/>
              <a:t>Pay Quartiles</a:t>
            </a:r>
          </a:p>
        </c:rich>
      </c:tx>
      <c:layout/>
      <c:overlay val="0"/>
    </c:title>
    <c:autoTitleDeleted val="0"/>
    <c:plotArea>
      <c:layout/>
      <c:barChart>
        <c:barDir val="bar"/>
        <c:grouping val="percentStacked"/>
        <c:varyColors val="0"/>
        <c:ser>
          <c:idx val="0"/>
          <c:order val="0"/>
          <c:tx>
            <c:strRef>
              <c:f>'Summary Charts'!$A$65</c:f>
              <c:strCache>
                <c:ptCount val="1"/>
                <c:pt idx="0">
                  <c:v>Female</c:v>
                </c:pt>
              </c:strCache>
            </c:strRef>
          </c:tx>
          <c:invertIfNegative val="0"/>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'Summary Charts'!$B$64:$E$64</c:f>
              <c:strCache>
                <c:ptCount val="4"/>
                <c:pt idx="0">
                  <c:v>Upper Quartile (highest paid)</c:v>
                </c:pt>
                <c:pt idx="1">
                  <c:v>Upper Middle Quartile</c:v>
                </c:pt>
                <c:pt idx="2">
                  <c:v>Lower Middle Quartile</c:v>
                </c:pt>
                <c:pt idx="3">
                  <c:v>Lower Quartile (lowest paid)</c:v>
                </c:pt>
              </c:strCache>
            </c:strRef>
          </c:cat>
          <c:val>
            <c:numRef>
              <c:f>'Summary Charts'!$B$65:$E$65</c:f>
              <c:numCache>
                <c:formatCode>0%</c:formatCode>
                <c:ptCount val="4"/>
                <c:pt idx="0">
                  <c:v>0.625</c:v>
                </c:pt>
                <c:pt idx="1">
                  <c:v>0.71064814814814814</c:v>
                </c:pt>
                <c:pt idx="2">
                  <c:v>0.76905311778290997</c:v>
                </c:pt>
                <c:pt idx="3">
                  <c:v>0.55427251732101612</c:v>
                </c:pt>
              </c:numCache>
            </c:numRef>
          </c:val>
          <c:extLst>
            <c:ext xmlns:c16="http://schemas.microsoft.com/office/drawing/2014/chart" uri="{C3380CC4-5D6E-409C-BE32-E72D297353CC}">
              <c16:uniqueId val="{00000000-EB7F-468A-B06F-3BC4305D851A}"/>
            </c:ext>
          </c:extLst>
        </c:ser>
        <c:ser>
          <c:idx val="1"/>
          <c:order val="1"/>
          <c:tx>
            <c:strRef>
              <c:f>'Summary Charts'!$A$66</c:f>
              <c:strCache>
                <c:ptCount val="1"/>
                <c:pt idx="0">
                  <c:v>Male</c:v>
                </c:pt>
              </c:strCache>
            </c:strRef>
          </c:tx>
          <c:invertIfNegative val="0"/>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'Summary Charts'!$B$64:$E$64</c:f>
              <c:strCache>
                <c:ptCount val="4"/>
                <c:pt idx="0">
                  <c:v>Upper Quartile (highest paid)</c:v>
                </c:pt>
                <c:pt idx="1">
                  <c:v>Upper Middle Quartile</c:v>
                </c:pt>
                <c:pt idx="2">
                  <c:v>Lower Middle Quartile</c:v>
                </c:pt>
                <c:pt idx="3">
                  <c:v>Lower Quartile (lowest paid)</c:v>
                </c:pt>
              </c:strCache>
            </c:strRef>
          </c:cat>
          <c:val>
            <c:numRef>
              <c:f>'Summary Charts'!$B$66:$E$66</c:f>
              <c:numCache>
                <c:formatCode>0%</c:formatCode>
                <c:ptCount val="4"/>
                <c:pt idx="0">
                  <c:v>0.37</c:v>
                </c:pt>
                <c:pt idx="1">
                  <c:v>0.28935185185185186</c:v>
                </c:pt>
                <c:pt idx="2">
                  <c:v>0.23094688221709006</c:v>
                </c:pt>
                <c:pt idx="3">
                  <c:v>0.44572748267898382</c:v>
                </c:pt>
              </c:numCache>
            </c:numRef>
          </c:val>
          <c:extLst>
            <c:ext xmlns:c16="http://schemas.microsoft.com/office/drawing/2014/chart" uri="{C3380CC4-5D6E-409C-BE32-E72D297353CC}">
              <c16:uniqueId val="{00000001-EB7F-468A-B06F-3BC4305D851A}"/>
            </c:ext>
          </c:extLst>
        </c:ser>
        <c:dLbls>
          <c:showLegendKey val="0"/>
          <c:showVal val="1"/>
          <c:showCatName val="0"/>
          <c:showSerName val="0"/>
          <c:showPercent val="0"/>
          <c:showBubbleSize val="0"/>
        </c:dLbls>
        <c:gapWidth val="75"/>
        <c:overlap val="100"/>
        <c:axId val="107915136"/>
        <c:axId val="107923328"/>
      </c:barChart>
      <c:catAx>
        <c:axId val="107915136"/>
        <c:scaling>
          <c:orientation val="maxMin"/>
        </c:scaling>
        <c:delete val="0"/>
        <c:axPos val="l"/>
        <c:numFmt formatCode="General" sourceLinked="0"/>
        <c:majorTickMark val="none"/>
        <c:minorTickMark val="none"/>
        <c:tickLblPos val="nextTo"/>
        <c:txPr>
          <a:bodyPr/>
          <a:lstStyle/>
          <a:p>
            <a:pPr>
              <a:defRPr b="1"/>
            </a:pPr>
            <a:endParaRPr lang="en-US"/>
          </a:p>
        </c:txPr>
        <c:crossAx val="107923328"/>
        <c:crosses val="autoZero"/>
        <c:auto val="1"/>
        <c:lblAlgn val="ctr"/>
        <c:lblOffset val="100"/>
        <c:noMultiLvlLbl val="0"/>
      </c:catAx>
      <c:valAx>
        <c:axId val="107923328"/>
        <c:scaling>
          <c:orientation val="minMax"/>
        </c:scaling>
        <c:delete val="0"/>
        <c:axPos val="t"/>
        <c:numFmt formatCode="0%" sourceLinked="1"/>
        <c:majorTickMark val="none"/>
        <c:minorTickMark val="none"/>
        <c:tickLblPos val="nextTo"/>
        <c:crossAx val="107915136"/>
        <c:crosses val="autoZero"/>
        <c:crossBetween val="between"/>
      </c:valAx>
    </c:plotArea>
    <c:legend>
      <c:legendPos val="r"/>
      <c:layout/>
      <c:overlay val="0"/>
      <c:txPr>
        <a:bodyPr/>
        <a:lstStyle/>
        <a:p>
          <a:pPr>
            <a:defRPr sz="1200"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244B2-BD9C-4C53-BEDF-40FDEEE0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1134</Words>
  <Characters>6464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ebeltran</dc:creator>
  <cp:lastModifiedBy>Todd, Sharon</cp:lastModifiedBy>
  <cp:revision>2</cp:revision>
  <cp:lastPrinted>2020-03-06T13:59:00Z</cp:lastPrinted>
  <dcterms:created xsi:type="dcterms:W3CDTF">2020-03-10T11:30:00Z</dcterms:created>
  <dcterms:modified xsi:type="dcterms:W3CDTF">2020-03-10T11:30:00Z</dcterms:modified>
</cp:coreProperties>
</file>